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BB1D"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55711CBA" w14:textId="77777777" w:rsidR="00AC72C5" w:rsidRPr="003E0437" w:rsidRDefault="00AC72C5" w:rsidP="003E0437">
      <w:pPr>
        <w:pStyle w:val="a3"/>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6F67F990"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02DDFC08"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191A75FB" w14:textId="1D4F6027" w:rsidR="00202698" w:rsidRDefault="00AC72C5" w:rsidP="0021208E">
      <w:pPr>
        <w:pStyle w:val="Paracha"/>
      </w:pPr>
      <w:proofErr w:type="spellStart"/>
      <w:r>
        <w:t>Parachat</w:t>
      </w:r>
      <w:proofErr w:type="spellEnd"/>
      <w:r w:rsidR="0021208E">
        <w:t xml:space="preserve"> </w:t>
      </w:r>
      <w:proofErr w:type="spellStart"/>
      <w:r w:rsidR="00904E75">
        <w:t>Toldoth</w:t>
      </w:r>
      <w:proofErr w:type="spellEnd"/>
    </w:p>
    <w:p w14:paraId="272CE512" w14:textId="659D1877" w:rsidR="003E0437" w:rsidRDefault="00904E75" w:rsidP="003E0437">
      <w:pPr>
        <w:pStyle w:val="Sous-titre"/>
        <w:bidi w:val="0"/>
        <w:spacing w:before="120" w:after="360" w:line="240" w:lineRule="auto"/>
      </w:pPr>
      <w:r>
        <w:t>La cécité d’Isaac</w:t>
      </w:r>
    </w:p>
    <w:p w14:paraId="329FFCC6" w14:textId="2C388A19" w:rsidR="00904E75" w:rsidRDefault="00904E75" w:rsidP="00904E75">
      <w:pPr>
        <w:pStyle w:val="ActuJ"/>
        <w:bidi w:val="0"/>
      </w:pPr>
      <w:r>
        <w:t xml:space="preserve">Isaac appelle Ésaü pour le bénir. Mais, juste avant, la Thora nous informe qu’il est en train de perdre la vue </w:t>
      </w:r>
      <w:r w:rsidRPr="00904E75">
        <w:rPr>
          <w:rStyle w:val="Reference"/>
        </w:rPr>
        <w:t xml:space="preserve">(Genèse </w:t>
      </w:r>
      <w:r w:rsidRPr="00904E75">
        <w:rPr>
          <w:rStyle w:val="Chapitre"/>
        </w:rPr>
        <w:t>xxvii</w:t>
      </w:r>
      <w:r>
        <w:rPr>
          <w:rStyle w:val="Chapitre"/>
        </w:rPr>
        <w:t>,</w:t>
      </w:r>
      <w:r w:rsidRPr="00904E75">
        <w:rPr>
          <w:rStyle w:val="Reference"/>
        </w:rPr>
        <w:t xml:space="preserve"> 1)</w:t>
      </w:r>
      <w:r>
        <w:t> :</w:t>
      </w:r>
    </w:p>
    <w:p w14:paraId="4DF4BC1F" w14:textId="25594485" w:rsidR="00904E75" w:rsidRDefault="00904E75" w:rsidP="00904E75">
      <w:pPr>
        <w:pStyle w:val="ActuJ"/>
        <w:bidi w:val="0"/>
      </w:pPr>
      <w:r>
        <w:t>« Et il arriva qu’Isaac vieillissant ses yeux se sont affaiblis de voir et il appela Ésaü</w:t>
      </w:r>
      <w:r w:rsidR="006236BF">
        <w:t>,</w:t>
      </w:r>
      <w:r>
        <w:t xml:space="preserve"> son fils </w:t>
      </w:r>
      <w:r w:rsidR="006236BF">
        <w:t>le grand, et il lui dit : « mon fils » ; et il lui dit : « me voici ».</w:t>
      </w:r>
    </w:p>
    <w:p w14:paraId="47E7D3DF" w14:textId="6D710D80" w:rsidR="006236BF" w:rsidRDefault="006236BF" w:rsidP="006236BF">
      <w:pPr>
        <w:pStyle w:val="ActuJ"/>
        <w:bidi w:val="0"/>
      </w:pPr>
      <w:r>
        <w:t xml:space="preserve">Nous sommes en présence d’une double cécité. Physique, qui permettra à Jacob de prendre la place d’Ésaü, mais aussi aveuglement spirituel : vouloir bénir Ésaü devenu </w:t>
      </w:r>
      <w:r w:rsidRPr="006236BF">
        <w:rPr>
          <w:rStyle w:val="Hbreu"/>
        </w:rPr>
        <w:t>rachă</w:t>
      </w:r>
      <w:r>
        <w:t>, c’est-à-dire indigne parce qu’immoral.</w:t>
      </w:r>
    </w:p>
    <w:p w14:paraId="531FE0B0" w14:textId="515C0382" w:rsidR="006236BF" w:rsidRDefault="006236BF" w:rsidP="006236BF">
      <w:pPr>
        <w:pStyle w:val="ActuJ"/>
        <w:bidi w:val="0"/>
      </w:pPr>
      <w:r>
        <w:t xml:space="preserve">Pour expliquer cela, Rachi cite le midrach </w:t>
      </w:r>
      <w:r w:rsidRPr="006236BF">
        <w:rPr>
          <w:rStyle w:val="Reference"/>
        </w:rPr>
        <w:t>(Beréchit Rabba 65, 10)</w:t>
      </w:r>
      <w:r>
        <w:t> :</w:t>
      </w:r>
    </w:p>
    <w:p w14:paraId="4E35219B" w14:textId="778A6E79" w:rsidR="006236BF" w:rsidRDefault="006236BF" w:rsidP="008B5A35">
      <w:pPr>
        <w:pStyle w:val="Citation"/>
      </w:pPr>
      <w:r>
        <w:t>« Lorsqu’il a été lié sur l’autel</w:t>
      </w:r>
      <w:r w:rsidR="008B5A35">
        <w:t xml:space="preserve"> et que son père se préparait à l’égorger, à ce moment là les cieux se sont ouverts et les anges du service ont vu et ont pleuré et leurs larmes sont descendues et sont tombées sur ses yeux, c’est pourquoi ses yeux se sont affaiblis. »</w:t>
      </w:r>
    </w:p>
    <w:p w14:paraId="6952D92F" w14:textId="77777777" w:rsidR="00B30181" w:rsidRDefault="008B5A35" w:rsidP="008B5A35">
      <w:pPr>
        <w:pStyle w:val="ActuJ"/>
        <w:bidi w:val="0"/>
      </w:pPr>
      <w:r>
        <w:t xml:space="preserve">Le sens de ce midrach est d’indiquer que la cécité d’Isaac trouve son origine dans la </w:t>
      </w:r>
      <w:r w:rsidRPr="008B5A35">
        <w:rPr>
          <w:rStyle w:val="Hbreu"/>
        </w:rPr>
        <w:t>ăqéda</w:t>
      </w:r>
      <w:r>
        <w:t>, la « ligature » d’Isaac</w:t>
      </w:r>
      <w:r>
        <w:rPr>
          <w:rStyle w:val="a7"/>
        </w:rPr>
        <w:footnoteReference w:id="1"/>
      </w:r>
      <w:r w:rsidR="003457CB">
        <w:t>. Qu’un père soit prêt à tuer son fils, indépendamment des causes et des justifications, est comme l’extinction de toutes les lumières morales fondamentales de l’humanité.</w:t>
      </w:r>
      <w:r w:rsidR="00D52ACE">
        <w:t xml:space="preserve"> Le principe brut selon lequel l’homme ne décide de rien mais doit obéir aveuglément aux ordres de Dieu, principe fixé lors de la </w:t>
      </w:r>
      <w:r w:rsidR="00D52ACE" w:rsidRPr="006673EB">
        <w:rPr>
          <w:rStyle w:val="Hbreu"/>
        </w:rPr>
        <w:t>ăqéda</w:t>
      </w:r>
      <w:r w:rsidR="00D52ACE">
        <w:t>, oblige Isaac à bénir son fils aîné, parce que « c’est cela qu’il faut faire » et l’homme ne peut aucunement décider autrement.</w:t>
      </w:r>
    </w:p>
    <w:p w14:paraId="32274A3F" w14:textId="7421ECDF" w:rsidR="008B5A35" w:rsidRDefault="00B30181" w:rsidP="00B30181">
      <w:pPr>
        <w:pStyle w:val="ActuJ"/>
        <w:bidi w:val="0"/>
      </w:pPr>
      <w:r>
        <w:t>Rébecca enseigne à Isaac que l’homme doit agir en fonction d’un jugement, d’une évaluation personnelle</w:t>
      </w:r>
      <w:r w:rsidR="00D52ACE">
        <w:t xml:space="preserve"> </w:t>
      </w:r>
      <w:r>
        <w:t>des situations ; la manière de réaliser les commandements n’est pas enseignée par des codex impersonnels ni par l’intelligence artificielle.</w:t>
      </w:r>
      <w:r w:rsidR="008B5A35">
        <w:t xml:space="preserve"> </w:t>
      </w:r>
    </w:p>
    <w:p w14:paraId="284B6D6D" w14:textId="761FAF47" w:rsidR="00B30181" w:rsidRDefault="00B30181" w:rsidP="00B30181">
      <w:pPr>
        <w:pStyle w:val="ActuJ"/>
        <w:bidi w:val="0"/>
      </w:pPr>
      <w:r>
        <w:t xml:space="preserve">La </w:t>
      </w:r>
      <w:r w:rsidRPr="006673EB">
        <w:rPr>
          <w:rStyle w:val="Hbreu"/>
        </w:rPr>
        <w:t>ăqéda</w:t>
      </w:r>
      <w:r>
        <w:t xml:space="preserve"> n’a finalement pas abouti à une immolation</w:t>
      </w:r>
      <w:r w:rsidR="00F2413F">
        <w:t xml:space="preserve"> parce qu’en réalité, dans les monde des valeurs imposées par le Saint, source des bénédictions </w:t>
      </w:r>
      <w:r w:rsidR="006B4202">
        <w:t xml:space="preserve">dans Son monde, </w:t>
      </w:r>
      <w:r w:rsidR="00F2413F">
        <w:t>il n’existe aucune permission de tuer un fils.</w:t>
      </w:r>
      <w:r w:rsidR="006B4202">
        <w:t xml:space="preserve"> Rebecca nous enseigne que ceux qui ont la charge de dire la loi ne peuvent pas se contenter d’appliquer </w:t>
      </w:r>
      <w:r w:rsidR="006B4202">
        <w:lastRenderedPageBreak/>
        <w:t>les textes sans prendre ne compte les situations particulières, les personnes qui posent les questions et les conséquence de leurs décisions juridiques.</w:t>
      </w:r>
    </w:p>
    <w:p w14:paraId="2922C58E" w14:textId="550AD982" w:rsidR="006B4202" w:rsidRDefault="006B4202" w:rsidP="006B4202">
      <w:pPr>
        <w:pStyle w:val="ActuJ"/>
        <w:bidi w:val="0"/>
      </w:pPr>
      <w:r>
        <w:t xml:space="preserve">Rebecca nous enseigne qu’il y a un « aîné » par primogéniture et il y a l’aîné authentique par la conduite, celui dont Dieu dira : </w:t>
      </w:r>
      <w:r w:rsidRPr="006B4202">
        <w:rPr>
          <w:rStyle w:val="EnLigne"/>
        </w:rPr>
        <w:t>« Israël est Mon fils aîné »</w:t>
      </w:r>
      <w:r>
        <w:t>. C’est Jacob qui assure la continuité de l’engendrement de l’identité d’Israël dans la lignée d’Abraham et d’Isaac.</w:t>
      </w:r>
    </w:p>
    <w:sectPr w:rsidR="006B42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E527" w14:textId="77777777" w:rsidR="000D3806" w:rsidRDefault="000D3806" w:rsidP="008B5A35">
      <w:pPr>
        <w:spacing w:line="240" w:lineRule="auto"/>
      </w:pPr>
      <w:r>
        <w:separator/>
      </w:r>
    </w:p>
  </w:endnote>
  <w:endnote w:type="continuationSeparator" w:id="0">
    <w:p w14:paraId="2EBF9FB0" w14:textId="77777777" w:rsidR="000D3806" w:rsidRDefault="000D3806" w:rsidP="008B5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73CE" w14:textId="77777777" w:rsidR="000D3806" w:rsidRDefault="000D3806" w:rsidP="003457CB">
      <w:pPr>
        <w:bidi w:val="0"/>
        <w:spacing w:line="240" w:lineRule="auto"/>
      </w:pPr>
      <w:r>
        <w:separator/>
      </w:r>
    </w:p>
  </w:footnote>
  <w:footnote w:type="continuationSeparator" w:id="0">
    <w:p w14:paraId="6E73312F" w14:textId="77777777" w:rsidR="000D3806" w:rsidRDefault="000D3806" w:rsidP="008B5A35">
      <w:pPr>
        <w:spacing w:line="240" w:lineRule="auto"/>
      </w:pPr>
      <w:r>
        <w:continuationSeparator/>
      </w:r>
    </w:p>
  </w:footnote>
  <w:footnote w:id="1">
    <w:p w14:paraId="4E33009B" w14:textId="0BB9D683" w:rsidR="008B5A35" w:rsidRDefault="008B5A35" w:rsidP="008B5A35">
      <w:pPr>
        <w:pStyle w:val="a5"/>
        <w:bidi w:val="0"/>
      </w:pPr>
      <w:r>
        <w:rPr>
          <w:rStyle w:val="a7"/>
        </w:rPr>
        <w:footnoteRef/>
      </w:r>
      <w:r>
        <w:rPr>
          <w:rtl/>
        </w:rPr>
        <w:t xml:space="preserve"> </w:t>
      </w:r>
      <w:r>
        <w:t>Épisode souvent appelé, improprement, « sacrifice d’Isaac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75"/>
    <w:rsid w:val="00086549"/>
    <w:rsid w:val="000A0DA6"/>
    <w:rsid w:val="000B31D9"/>
    <w:rsid w:val="000D3806"/>
    <w:rsid w:val="00202698"/>
    <w:rsid w:val="0021208E"/>
    <w:rsid w:val="00253D35"/>
    <w:rsid w:val="00255A14"/>
    <w:rsid w:val="002A1B89"/>
    <w:rsid w:val="002D34C8"/>
    <w:rsid w:val="0033145A"/>
    <w:rsid w:val="003457CB"/>
    <w:rsid w:val="003E0437"/>
    <w:rsid w:val="0043336E"/>
    <w:rsid w:val="005B24E3"/>
    <w:rsid w:val="006236BF"/>
    <w:rsid w:val="006B4202"/>
    <w:rsid w:val="008B5A35"/>
    <w:rsid w:val="00904E75"/>
    <w:rsid w:val="00941807"/>
    <w:rsid w:val="009834C1"/>
    <w:rsid w:val="0099059E"/>
    <w:rsid w:val="00A83F34"/>
    <w:rsid w:val="00AC72C5"/>
    <w:rsid w:val="00B30181"/>
    <w:rsid w:val="00C34670"/>
    <w:rsid w:val="00C61FB4"/>
    <w:rsid w:val="00C62EE0"/>
    <w:rsid w:val="00D21C72"/>
    <w:rsid w:val="00D52ACE"/>
    <w:rsid w:val="00DC6177"/>
    <w:rsid w:val="00DE5ABD"/>
    <w:rsid w:val="00E66D7A"/>
    <w:rsid w:val="00ED21D2"/>
    <w:rsid w:val="00F2413F"/>
    <w:rsid w:val="00FA59D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C0EA"/>
  <w15:chartTrackingRefBased/>
  <w15:docId w15:val="{60A0F79D-0D20-4AB0-B31F-644396A9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 w:type="paragraph" w:styleId="a5">
    <w:name w:val="footnote text"/>
    <w:basedOn w:val="a"/>
    <w:link w:val="a6"/>
    <w:uiPriority w:val="99"/>
    <w:semiHidden/>
    <w:unhideWhenUsed/>
    <w:rsid w:val="008B5A35"/>
    <w:pPr>
      <w:spacing w:line="240" w:lineRule="auto"/>
    </w:pPr>
    <w:rPr>
      <w:sz w:val="20"/>
      <w:szCs w:val="20"/>
    </w:rPr>
  </w:style>
  <w:style w:type="character" w:customStyle="1" w:styleId="a6">
    <w:name w:val="טקסט הערת שוליים תו"/>
    <w:basedOn w:val="a0"/>
    <w:link w:val="a5"/>
    <w:uiPriority w:val="99"/>
    <w:semiHidden/>
    <w:rsid w:val="008B5A35"/>
    <w:rPr>
      <w:rFonts w:ascii="Times New Roman" w:eastAsia="Times New Roman" w:hAnsi="Times New Roman" w:cs="Arial"/>
      <w:sz w:val="20"/>
      <w:szCs w:val="20"/>
      <w:lang w:val="fr-FR" w:eastAsia="he-IL"/>
    </w:rPr>
  </w:style>
  <w:style w:type="character" w:styleId="a7">
    <w:name w:val="footnote reference"/>
    <w:basedOn w:val="a0"/>
    <w:uiPriority w:val="99"/>
    <w:semiHidden/>
    <w:unhideWhenUsed/>
    <w:rsid w:val="008B5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5EA4C-854F-44EA-B3EB-12E993D2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 paracha dans le Midrach</Template>
  <TotalTime>72</TotalTime>
  <Pages>1</Pages>
  <Words>448</Words>
  <Characters>2137</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4</cp:revision>
  <dcterms:created xsi:type="dcterms:W3CDTF">2025-11-10T07:32:00Z</dcterms:created>
  <dcterms:modified xsi:type="dcterms:W3CDTF">2025-11-11T06:01:00Z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