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A507" w14:textId="77777777" w:rsidR="00AC72C5" w:rsidRPr="00E2298D" w:rsidRDefault="00AC72C5" w:rsidP="00AF3EA7">
      <w:pPr>
        <w:pStyle w:val="Sous-titre"/>
        <w:bidi w:val="0"/>
        <w:spacing w:after="12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1589C33B"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61135F0F"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3F32BE3B"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18B8B9F9" w14:textId="5ABB6E10" w:rsidR="00202698" w:rsidRDefault="00AC72C5" w:rsidP="0021208E">
      <w:pPr>
        <w:pStyle w:val="Paracha"/>
      </w:pPr>
      <w:r>
        <w:t>Parachat</w:t>
      </w:r>
      <w:r w:rsidR="0021208E">
        <w:t xml:space="preserve"> </w:t>
      </w:r>
      <w:proofErr w:type="spellStart"/>
      <w:r w:rsidR="00154B64">
        <w:t>Vezoth</w:t>
      </w:r>
      <w:proofErr w:type="spellEnd"/>
      <w:r w:rsidR="00154B64">
        <w:t xml:space="preserve"> </w:t>
      </w:r>
      <w:proofErr w:type="spellStart"/>
      <w:r w:rsidR="00154B64">
        <w:t>Haberakha</w:t>
      </w:r>
      <w:proofErr w:type="spellEnd"/>
    </w:p>
    <w:p w14:paraId="01C34573" w14:textId="59D76805" w:rsidR="003E0437" w:rsidRDefault="00154B64" w:rsidP="00AF3EA7">
      <w:pPr>
        <w:pStyle w:val="Sous-titre"/>
        <w:bidi w:val="0"/>
        <w:spacing w:before="120" w:after="240" w:line="240" w:lineRule="auto"/>
      </w:pPr>
      <w:r>
        <w:t xml:space="preserve">Deux héros de la </w:t>
      </w:r>
      <w:proofErr w:type="spellStart"/>
      <w:r>
        <w:t>téchouva</w:t>
      </w:r>
      <w:proofErr w:type="spellEnd"/>
    </w:p>
    <w:p w14:paraId="5170DAF2" w14:textId="0C73496E" w:rsidR="00154B64" w:rsidRDefault="00154B64" w:rsidP="00154B64">
      <w:pPr>
        <w:pStyle w:val="ActuJ"/>
        <w:bidi w:val="0"/>
      </w:pPr>
      <w:r>
        <w:t xml:space="preserve">La paracha porte le nom de la bénédiction de Moïse aux tribus d’Israël, soulignant, au-dedans de l’unité du peuple, l’identité de chacune de ses composantes. Elle commence par l’aîné, Reuven et se poursuit par Yehouda, les deux bénédictions étant reliées par une conjonction de coordination : « et ceci pour Yehouda… » </w:t>
      </w:r>
    </w:p>
    <w:p w14:paraId="2534B1B0" w14:textId="053A47A1" w:rsidR="00154B64" w:rsidRDefault="00154B64" w:rsidP="00133EEC">
      <w:pPr>
        <w:pStyle w:val="Citation"/>
      </w:pPr>
      <w:r>
        <w:t xml:space="preserve">« Que vive Reuven et qu’il ne meure pas et que soit nombreuse sa population.  Et ceci pour Yehouda – et il dit : écoute, ô Hachem, la voix de Yehouda et amène le à son peuple. </w:t>
      </w:r>
      <w:r w:rsidR="00133EEC">
        <w:t xml:space="preserve">Ses mains font sa puissance et elle lui sera alliée contre ses ennemis. » </w:t>
      </w:r>
      <w:r w:rsidR="00133EEC" w:rsidRPr="00133EEC">
        <w:rPr>
          <w:rStyle w:val="Reference"/>
        </w:rPr>
        <w:t xml:space="preserve">(Deut. </w:t>
      </w:r>
      <w:r w:rsidR="00133EEC" w:rsidRPr="00133EEC">
        <w:rPr>
          <w:rStyle w:val="Chapitre"/>
        </w:rPr>
        <w:t>xxxiii</w:t>
      </w:r>
      <w:r w:rsidR="00133EEC" w:rsidRPr="00133EEC">
        <w:rPr>
          <w:rStyle w:val="Reference"/>
        </w:rPr>
        <w:t>, 6–7)</w:t>
      </w:r>
      <w:r w:rsidR="00133EEC">
        <w:t xml:space="preserve"> </w:t>
      </w:r>
    </w:p>
    <w:p w14:paraId="77AEBF3B" w14:textId="04D4AF63" w:rsidR="00133EEC" w:rsidRDefault="00133EEC" w:rsidP="00133EEC">
      <w:pPr>
        <w:pStyle w:val="ActuJ"/>
        <w:bidi w:val="0"/>
      </w:pPr>
      <w:r>
        <w:t xml:space="preserve">Rachi, rapportant le Midrach </w:t>
      </w:r>
      <w:r w:rsidR="00616729" w:rsidRPr="00616729">
        <w:rPr>
          <w:rStyle w:val="Reference"/>
        </w:rPr>
        <w:t>(Sifré 348)</w:t>
      </w:r>
      <w:r w:rsidR="00616729">
        <w:t xml:space="preserve"> </w:t>
      </w:r>
      <w:r>
        <w:t>et le Talmud</w:t>
      </w:r>
      <w:r w:rsidR="00616729">
        <w:t xml:space="preserve"> </w:t>
      </w:r>
      <w:r w:rsidR="00616729" w:rsidRPr="00616729">
        <w:rPr>
          <w:rStyle w:val="Reference"/>
        </w:rPr>
        <w:t>(Sota 7b)</w:t>
      </w:r>
      <w:r>
        <w:t xml:space="preserve">, explique le lien entre les deux frères, Reuven et Yéhouda. Les deux ont fauté et fait </w:t>
      </w:r>
      <w:r w:rsidRPr="00133EEC">
        <w:rPr>
          <w:rStyle w:val="Hbreu"/>
        </w:rPr>
        <w:t>téchouva</w:t>
      </w:r>
      <w:r>
        <w:t xml:space="preserve">. </w:t>
      </w:r>
      <w:r w:rsidR="00616729">
        <w:t xml:space="preserve">Après la mort de Rachel, Jacob installe sa couche dans la tente de Bilha. </w:t>
      </w:r>
      <w:r>
        <w:t>Reouven, prenant fait et cause pour l’honneur de sa mère</w:t>
      </w:r>
      <w:r w:rsidR="00616729">
        <w:t>, bouleverse la couche de son père. Yehouda a eu quant à lui une relation amoureuse avec Tamar, veuve de ses fils :</w:t>
      </w:r>
    </w:p>
    <w:p w14:paraId="69B3A318" w14:textId="293D66D9" w:rsidR="00616729" w:rsidRDefault="00616729" w:rsidP="00616729">
      <w:pPr>
        <w:pStyle w:val="Citation"/>
      </w:pPr>
      <w:r>
        <w:t>« Le texte adjoint Yéhouda à Reuven parce que tous deux ont reconnu la faute commise… »</w:t>
      </w:r>
    </w:p>
    <w:p w14:paraId="0444493E" w14:textId="3937B53A" w:rsidR="00616729" w:rsidRDefault="00616729" w:rsidP="00AF3EA7">
      <w:pPr>
        <w:pStyle w:val="ActuJ"/>
        <w:widowControl w:val="0"/>
        <w:bidi w:val="0"/>
      </w:pPr>
      <w:r>
        <w:t xml:space="preserve">Reuven et Yéhouda ont frayé deux voies de </w:t>
      </w:r>
      <w:r w:rsidRPr="00616729">
        <w:rPr>
          <w:rStyle w:val="Hbreu"/>
        </w:rPr>
        <w:t>téchouva</w:t>
      </w:r>
      <w:r>
        <w:t>. Reuven a été le premier</w:t>
      </w:r>
      <w:r>
        <w:rPr>
          <w:rStyle w:val="FootnoteReference"/>
        </w:rPr>
        <w:footnoteReference w:id="1"/>
      </w:r>
      <w:r w:rsidR="00FC3064">
        <w:t xml:space="preserve">, c’est-à-dire qu’il a été le premier à faire </w:t>
      </w:r>
      <w:r w:rsidR="00FC3064" w:rsidRPr="00FC3064">
        <w:rPr>
          <w:rStyle w:val="Hbreu"/>
        </w:rPr>
        <w:t>téchouva</w:t>
      </w:r>
      <w:r w:rsidR="00FC3064">
        <w:t xml:space="preserve"> de sa propre initiative, sans aucun encouragement </w:t>
      </w:r>
      <w:r w:rsidR="00274F76">
        <w:t xml:space="preserve">hétéronome. Yéhouda avait un statut de chef d’État </w:t>
      </w:r>
      <w:r w:rsidR="00274F76" w:rsidRPr="00274F76">
        <w:rPr>
          <w:rStyle w:val="Hbreu"/>
        </w:rPr>
        <w:t>(Nassi)</w:t>
      </w:r>
      <w:r w:rsidR="00274F76">
        <w:t xml:space="preserve"> au pays de Canaan. En tant que tel, reconnaître sa faute et faire </w:t>
      </w:r>
      <w:r w:rsidR="00274F76" w:rsidRPr="00274F76">
        <w:rPr>
          <w:rStyle w:val="Hbreu"/>
        </w:rPr>
        <w:t>téchouva</w:t>
      </w:r>
      <w:r w:rsidR="00274F76">
        <w:t xml:space="preserve"> lui était plus difficile que pour un homme du commun. Son humilité et sa décision de reconnaître publiquement sa responsabilité témoignent d’un courage spirituel remarquable. Reuven fait montre de la valeur du personnage individuel qui fait </w:t>
      </w:r>
      <w:r w:rsidR="00274F76" w:rsidRPr="00274F76">
        <w:rPr>
          <w:rStyle w:val="Hbreu"/>
        </w:rPr>
        <w:t>téchouva</w:t>
      </w:r>
      <w:r w:rsidR="00274F76">
        <w:t xml:space="preserve"> de manière autonome et Yéhouda </w:t>
      </w:r>
      <w:r w:rsidR="00AF3EA7">
        <w:t xml:space="preserve">montre par l’exemple que même les puissants peuvent faire </w:t>
      </w:r>
      <w:r w:rsidR="00AF3EA7" w:rsidRPr="00AF3EA7">
        <w:rPr>
          <w:rStyle w:val="Hbreu"/>
        </w:rPr>
        <w:t>téchouva</w:t>
      </w:r>
      <w:r w:rsidR="00AF3EA7">
        <w:t xml:space="preserve">. </w:t>
      </w:r>
    </w:p>
    <w:p w14:paraId="3B8F8A52" w14:textId="37BF0E8D" w:rsidR="00AF3EA7" w:rsidRDefault="00AF3EA7" w:rsidP="00AF3EA7">
      <w:pPr>
        <w:pStyle w:val="ActuJ"/>
        <w:widowControl w:val="0"/>
        <w:bidi w:val="0"/>
      </w:pPr>
      <w:r>
        <w:t>Apprenons de ces deux héros à redresser la voie en cas d’erreur.</w:t>
      </w:r>
    </w:p>
    <w:sectPr w:rsidR="00AF3EA7" w:rsidSect="00AF3EA7">
      <w:pgSz w:w="11906" w:h="16838" w:code="9"/>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17C0" w14:textId="77777777" w:rsidR="00154B64" w:rsidRDefault="00154B64" w:rsidP="00154B64">
      <w:pPr>
        <w:spacing w:line="240" w:lineRule="auto"/>
      </w:pPr>
      <w:r>
        <w:separator/>
      </w:r>
    </w:p>
  </w:endnote>
  <w:endnote w:type="continuationSeparator" w:id="0">
    <w:p w14:paraId="3C5A2D9A" w14:textId="77777777" w:rsidR="00154B64" w:rsidRDefault="00154B64" w:rsidP="00154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bMazalPro Medium">
    <w:altName w:val="Times New Roman"/>
    <w:charset w:val="00"/>
    <w:family w:val="roman"/>
    <w:pitch w:val="variable"/>
    <w:sig w:usb0="80000827" w:usb1="5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B5C5" w14:textId="77777777" w:rsidR="00154B64" w:rsidRDefault="00154B64" w:rsidP="00AF3EA7">
      <w:pPr>
        <w:bidi w:val="0"/>
        <w:spacing w:line="240" w:lineRule="auto"/>
      </w:pPr>
      <w:r>
        <w:separator/>
      </w:r>
    </w:p>
  </w:footnote>
  <w:footnote w:type="continuationSeparator" w:id="0">
    <w:p w14:paraId="59A3644C" w14:textId="77777777" w:rsidR="00154B64" w:rsidRDefault="00154B64" w:rsidP="00154B64">
      <w:pPr>
        <w:spacing w:line="240" w:lineRule="auto"/>
      </w:pPr>
      <w:r>
        <w:continuationSeparator/>
      </w:r>
    </w:p>
  </w:footnote>
  <w:footnote w:id="1">
    <w:p w14:paraId="40220C87" w14:textId="407A861B" w:rsidR="00616729" w:rsidRDefault="00616729" w:rsidP="00616729">
      <w:pPr>
        <w:pStyle w:val="FootnoteText"/>
        <w:bidi w:val="0"/>
      </w:pPr>
      <w:r>
        <w:rPr>
          <w:rStyle w:val="FootnoteReference"/>
        </w:rPr>
        <w:footnoteRef/>
      </w:r>
      <w:r>
        <w:rPr>
          <w:rtl/>
        </w:rPr>
        <w:t xml:space="preserve"> </w:t>
      </w:r>
      <w:r>
        <w:t xml:space="preserve">« Et Reuven a fait retour </w:t>
      </w:r>
      <w:r w:rsidR="00FC3064">
        <w:t xml:space="preserve">au puits – le Saint, Source des bénédictions, lui dit : nul homme n’avait encore fauté devant Moi et fait </w:t>
      </w:r>
      <w:r w:rsidR="00FC3064" w:rsidRPr="00FC3064">
        <w:rPr>
          <w:rStyle w:val="Hbreu"/>
        </w:rPr>
        <w:t>téchouva</w:t>
      </w:r>
      <w:r w:rsidR="00FC3064">
        <w:t xml:space="preserve">, et toi, tu as été le premier à ouvrir la voie. Par ta vie, un fils de tes fils se lèvera et ouvrira la voie à son tour. Qui est-ce ? le prophète Osée qui dira : </w:t>
      </w:r>
      <w:r w:rsidR="00FC3064" w:rsidRPr="00FC3064">
        <w:rPr>
          <w:i/>
          <w:iCs/>
        </w:rPr>
        <w:t>Reviens, Israël, jusqu’à Hachem ton Dieu</w:t>
      </w:r>
      <w:r w:rsidR="00FC3064">
        <w:t>. (Beréchit Rabba 84, 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attachedTemplate r:id="rId1"/>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64"/>
    <w:rsid w:val="00086549"/>
    <w:rsid w:val="000A0DA6"/>
    <w:rsid w:val="000B31D9"/>
    <w:rsid w:val="00133EEC"/>
    <w:rsid w:val="00154B64"/>
    <w:rsid w:val="00202698"/>
    <w:rsid w:val="0021208E"/>
    <w:rsid w:val="00253D35"/>
    <w:rsid w:val="00255A14"/>
    <w:rsid w:val="00274F76"/>
    <w:rsid w:val="002A1B89"/>
    <w:rsid w:val="002D34C8"/>
    <w:rsid w:val="003E0437"/>
    <w:rsid w:val="005B24E3"/>
    <w:rsid w:val="00616729"/>
    <w:rsid w:val="00793E6A"/>
    <w:rsid w:val="00941807"/>
    <w:rsid w:val="009834C1"/>
    <w:rsid w:val="00A83F34"/>
    <w:rsid w:val="00AC72C5"/>
    <w:rsid w:val="00AF3EA7"/>
    <w:rsid w:val="00C34670"/>
    <w:rsid w:val="00C61FB4"/>
    <w:rsid w:val="00C62EE0"/>
    <w:rsid w:val="00D21C72"/>
    <w:rsid w:val="00DC6177"/>
    <w:rsid w:val="00DE5ABD"/>
    <w:rsid w:val="00E66D7A"/>
    <w:rsid w:val="00ED21D2"/>
    <w:rsid w:val="00FA59DF"/>
    <w:rsid w:val="00FC306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2390"/>
  <w15:chartTrackingRefBased/>
  <w15:docId w15:val="{F0162D23-CB47-46A4-94E1-7A12EDC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 w:type="character" w:styleId="FootnoteReference">
    <w:name w:val="footnote reference"/>
    <w:uiPriority w:val="99"/>
    <w:rsid w:val="00154B64"/>
    <w:rPr>
      <w:rFonts w:ascii="Georgia" w:hAnsi="Georgia"/>
      <w:sz w:val="24"/>
      <w:vertAlign w:val="superscript"/>
    </w:rPr>
  </w:style>
  <w:style w:type="paragraph" w:customStyle="1" w:styleId="a">
    <w:name w:val="ביאורימני"/>
    <w:basedOn w:val="Normal"/>
    <w:link w:val="a0"/>
    <w:qFormat/>
    <w:rsid w:val="00154B64"/>
    <w:pPr>
      <w:suppressAutoHyphens w:val="0"/>
      <w:spacing w:before="20"/>
      <w:ind w:firstLine="284"/>
    </w:pPr>
    <w:rPr>
      <w:rFonts w:ascii="Georgia" w:hAnsi="Georgia" w:cs="FbMazalPro Medium"/>
      <w:sz w:val="24"/>
      <w:szCs w:val="26"/>
      <w:lang w:eastAsia="en-US"/>
    </w:rPr>
  </w:style>
  <w:style w:type="character" w:customStyle="1" w:styleId="a0">
    <w:name w:val="ביאורימני תו"/>
    <w:basedOn w:val="DefaultParagraphFont"/>
    <w:link w:val="a"/>
    <w:rsid w:val="00154B64"/>
    <w:rPr>
      <w:rFonts w:ascii="Georgia" w:eastAsia="Times New Roman" w:hAnsi="Georgia" w:cs="FbMazalPro Medium"/>
      <w:sz w:val="24"/>
      <w:szCs w:val="26"/>
      <w:lang w:val="fr-FR"/>
    </w:rPr>
  </w:style>
  <w:style w:type="paragraph" w:customStyle="1" w:styleId="a1">
    <w:name w:val="הערות שוליים"/>
    <w:basedOn w:val="FootnoteText"/>
    <w:link w:val="a2"/>
    <w:qFormat/>
    <w:rsid w:val="00154B64"/>
    <w:pPr>
      <w:suppressAutoHyphens w:val="0"/>
    </w:pPr>
    <w:rPr>
      <w:rFonts w:ascii="FbMazalPro Medium" w:hAnsi="FbMazalPro Medium" w:cs="FbMazalPro Medium"/>
      <w:noProof/>
      <w:lang w:eastAsia="en-US"/>
    </w:rPr>
  </w:style>
  <w:style w:type="character" w:customStyle="1" w:styleId="a2">
    <w:name w:val="הערות שוליים תו"/>
    <w:basedOn w:val="DefaultParagraphFont"/>
    <w:link w:val="a1"/>
    <w:rsid w:val="00154B64"/>
    <w:rPr>
      <w:rFonts w:ascii="FbMazalPro Medium" w:eastAsia="Times New Roman" w:hAnsi="FbMazalPro Medium" w:cs="FbMazalPro Medium"/>
      <w:noProof/>
      <w:sz w:val="20"/>
      <w:szCs w:val="20"/>
      <w:lang w:val="fr-FR"/>
    </w:rPr>
  </w:style>
  <w:style w:type="paragraph" w:styleId="FootnoteText">
    <w:name w:val="footnote text"/>
    <w:basedOn w:val="Normal"/>
    <w:link w:val="FootnoteTextChar"/>
    <w:uiPriority w:val="99"/>
    <w:semiHidden/>
    <w:unhideWhenUsed/>
    <w:rsid w:val="00154B64"/>
    <w:pPr>
      <w:spacing w:line="240" w:lineRule="auto"/>
    </w:pPr>
    <w:rPr>
      <w:sz w:val="20"/>
      <w:szCs w:val="20"/>
    </w:rPr>
  </w:style>
  <w:style w:type="character" w:customStyle="1" w:styleId="FootnoteTextChar">
    <w:name w:val="Footnote Text Char"/>
    <w:basedOn w:val="DefaultParagraphFont"/>
    <w:link w:val="FootnoteText"/>
    <w:uiPriority w:val="99"/>
    <w:semiHidden/>
    <w:rsid w:val="00154B64"/>
    <w:rPr>
      <w:rFonts w:ascii="Times New Roman" w:eastAsia="Times New Roman" w:hAnsi="Times New Roman" w:cs="Arial"/>
      <w:sz w:val="20"/>
      <w:szCs w:val="20"/>
      <w:lang w:val="fr-FR"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ADE77-06D3-47BA-A22E-DE53068D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 paracha dans le Midrach.dotx</Template>
  <TotalTime>58</TotalTime>
  <Pages>1</Pages>
  <Words>337</Words>
  <Characters>1689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2025-09-29T09:37:00Z</dcterms:created>
  <dcterms:modified xsi:type="dcterms:W3CDTF">2025-09-29T10:35:00Z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