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F129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La mitzva de la semaine</w:t>
      </w:r>
    </w:p>
    <w:p w14:paraId="4CED8D28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04D1A83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38FEEB68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2699CA20" w14:textId="2D875B5F" w:rsidR="00202698" w:rsidRDefault="00AC72C5" w:rsidP="0021208E">
      <w:pPr>
        <w:pStyle w:val="Paracha"/>
      </w:pPr>
      <w:proofErr w:type="spellStart"/>
      <w:r>
        <w:t>Parachat</w:t>
      </w:r>
      <w:proofErr w:type="spellEnd"/>
      <w:r w:rsidR="0021208E">
        <w:t xml:space="preserve"> </w:t>
      </w:r>
      <w:proofErr w:type="spellStart"/>
      <w:r w:rsidR="003F0BCF">
        <w:t>Be‘houqotaï</w:t>
      </w:r>
      <w:proofErr w:type="spellEnd"/>
    </w:p>
    <w:p w14:paraId="74EC0331" w14:textId="57B2323D" w:rsidR="003E0437" w:rsidRDefault="003F0BCF" w:rsidP="003E0437">
      <w:pPr>
        <w:pStyle w:val="Sous-titre"/>
        <w:bidi w:val="0"/>
        <w:spacing w:before="120" w:after="360" w:line="240" w:lineRule="auto"/>
      </w:pPr>
      <w:r>
        <w:t>Qui est le racha‘</w:t>
      </w:r>
    </w:p>
    <w:p w14:paraId="404F34AF" w14:textId="087E9D13" w:rsidR="003F0BCF" w:rsidRDefault="003F0BCF" w:rsidP="003F0BCF">
      <w:pPr>
        <w:pStyle w:val="ActuJ"/>
        <w:bidi w:val="0"/>
      </w:pPr>
      <w:r>
        <w:t>Qui sont les « </w:t>
      </w:r>
      <w:r w:rsidR="00ED66B2">
        <w:t>mécréa</w:t>
      </w:r>
      <w:r>
        <w:t>nts</w:t>
      </w:r>
      <w:r w:rsidR="000C3ECB">
        <w:rPr>
          <w:rStyle w:val="a7"/>
        </w:rPr>
        <w:footnoteReference w:id="1"/>
      </w:r>
      <w:r>
        <w:t xml:space="preserve"> » qui – selon la halakha – doivent être mis à </w:t>
      </w:r>
      <w:r w:rsidR="00ED66B2">
        <w:t>l’</w:t>
      </w:r>
      <w:r>
        <w:t>écart de la communauté à cause de leur mauvaise conduite ? On pourrait croire qu’il s’agit de Juifs qui, à notre grand regret, ne croient pas encore en la Thora divine et qui, en conséquence, violent le chabbat et mangent n’importe quoi. Est-ce que ce sont eux dont on dit qu’ils nuisent grandement à tout Israël ? Les commentaires des Sages sur un des versets de cette paracha a de quoi nous surprendre</w:t>
      </w:r>
      <w:r w:rsidR="001D52ED">
        <w:t> !</w:t>
      </w:r>
    </w:p>
    <w:p w14:paraId="2C54F84B" w14:textId="4BEB710F" w:rsidR="001D52ED" w:rsidRDefault="001D52ED" w:rsidP="001D52ED">
      <w:pPr>
        <w:pStyle w:val="ActuJ"/>
        <w:bidi w:val="0"/>
      </w:pPr>
      <w:r w:rsidRPr="001D52ED">
        <w:t>Il y a</w:t>
      </w:r>
      <w:r>
        <w:t>,</w:t>
      </w:r>
      <w:r w:rsidRPr="001D52ED">
        <w:t xml:space="preserve"> à la fin de la paracha</w:t>
      </w:r>
      <w:r>
        <w:t>, un passage dur, connu comme énonçant une série d’éventuelles malédictions. Ce passage commence par le verset suivant </w:t>
      </w:r>
      <w:r w:rsidRPr="001D52ED">
        <w:rPr>
          <w:rStyle w:val="Reference"/>
        </w:rPr>
        <w:t xml:space="preserve">(Lévitique </w:t>
      </w:r>
      <w:r w:rsidRPr="001D52ED">
        <w:rPr>
          <w:rStyle w:val="Chapitre"/>
        </w:rPr>
        <w:t>xxvi</w:t>
      </w:r>
      <w:r w:rsidRPr="001D52ED">
        <w:rPr>
          <w:rStyle w:val="Reference"/>
        </w:rPr>
        <w:t>, 14)</w:t>
      </w:r>
      <w:r>
        <w:t xml:space="preserve"> : </w:t>
      </w:r>
      <w:r w:rsidRPr="001D52ED">
        <w:t xml:space="preserve"> </w:t>
      </w:r>
    </w:p>
    <w:p w14:paraId="774A1DCD" w14:textId="6D1E2721" w:rsidR="001D52ED" w:rsidRDefault="001D52ED" w:rsidP="001D52ED">
      <w:pPr>
        <w:pStyle w:val="Citation"/>
      </w:pPr>
      <w:r>
        <w:t>« Et si vous ne M’écoutez pas et n’accomplissez pas ces commandements. »</w:t>
      </w:r>
    </w:p>
    <w:p w14:paraId="10E9F76A" w14:textId="20B41A6E" w:rsidR="001D52ED" w:rsidRDefault="001D52ED" w:rsidP="00991A73">
      <w:pPr>
        <w:pStyle w:val="ActuJ"/>
        <w:bidi w:val="0"/>
      </w:pPr>
      <w:r w:rsidRPr="001D52ED">
        <w:t xml:space="preserve">Dans le </w:t>
      </w:r>
      <w:r w:rsidRPr="001D52ED">
        <w:rPr>
          <w:rStyle w:val="Hbreu"/>
        </w:rPr>
        <w:t>Sifra</w:t>
      </w:r>
      <w:r w:rsidRPr="001D52ED">
        <w:t>, midrach h</w:t>
      </w:r>
      <w:r>
        <w:t xml:space="preserve">alakha sur le Lévitique issu de l’Ecole de Rabbi </w:t>
      </w:r>
      <w:proofErr w:type="spellStart"/>
      <w:r>
        <w:t>Aqiba</w:t>
      </w:r>
      <w:proofErr w:type="spellEnd"/>
      <w:r>
        <w:t>, les Sages s’interrogent sur la signification du mot rendu ci-dessus par le M majuscule, pronom de majesté. Il eut été plus simple de dire : « si vous n’écoutez pas et si vous n’accomplissez pas… » Voici leur enseignement </w:t>
      </w:r>
      <w:r w:rsidR="00991A73">
        <w:t>(</w:t>
      </w:r>
      <w:proofErr w:type="spellStart"/>
      <w:r w:rsidR="00991A73" w:rsidRPr="00991A73">
        <w:rPr>
          <w:rStyle w:val="Hbreu"/>
        </w:rPr>
        <w:t>Sifra</w:t>
      </w:r>
      <w:proofErr w:type="spellEnd"/>
      <w:r w:rsidR="00991A73">
        <w:t xml:space="preserve">, </w:t>
      </w:r>
      <w:proofErr w:type="spellStart"/>
      <w:r w:rsidR="00991A73">
        <w:t>Be‘houqotaï</w:t>
      </w:r>
      <w:proofErr w:type="spellEnd"/>
      <w:r w:rsidR="00991A73">
        <w:t>, 2, 2) </w:t>
      </w:r>
      <w:r>
        <w:t>:</w:t>
      </w:r>
    </w:p>
    <w:p w14:paraId="4D618FB8" w14:textId="071AB912" w:rsidR="001D52ED" w:rsidRDefault="00991A73" w:rsidP="00991A73">
      <w:pPr>
        <w:pStyle w:val="Citation"/>
      </w:pPr>
      <w:r>
        <w:t xml:space="preserve">« Et si vous ne M’écoutez pas – que vient enseigner ce pronom ? Il fait référence à celui qui connaît son Maître et se propose de se révolter contre Lui. C’est ainsi que le verset dit : “comme Nimrod chasseur devant </w:t>
      </w:r>
      <w:proofErr w:type="spellStart"/>
      <w:r>
        <w:t>Hachem</w:t>
      </w:r>
      <w:proofErr w:type="spellEnd"/>
      <w:r>
        <w:t xml:space="preserve">”, c’est-à-dire connaissant son Maître et visant à se révolter contre </w:t>
      </w:r>
      <w:r w:rsidR="00ED66B2">
        <w:t>L</w:t>
      </w:r>
      <w:r>
        <w:t xml:space="preserve">ui. De même, le texte dit : “et les gens de Sodome étaient mauvais et péchaient beaucoup contre Hachem”. Et le texte ne dit “contre Hachem” que s’agissant de </w:t>
      </w:r>
      <w:r w:rsidR="00ED66B2">
        <w:t>g</w:t>
      </w:r>
      <w:r>
        <w:t>ens connaissant leur Maître et visant à se révolter contre Lui. »</w:t>
      </w:r>
    </w:p>
    <w:p w14:paraId="544EF73B" w14:textId="736DF32A" w:rsidR="00991A73" w:rsidRDefault="00991A73" w:rsidP="00991A73">
      <w:pPr>
        <w:pStyle w:val="ActuJ"/>
        <w:bidi w:val="0"/>
      </w:pPr>
      <w:r>
        <w:t>Le midrach est très explicite. Les non-croyants</w:t>
      </w:r>
      <w:r w:rsidR="000C3ECB">
        <w:t xml:space="preserve"> ou non-pratiquants</w:t>
      </w:r>
      <w:r>
        <w:t>, parce qu’ils n’ont pas reçu l’éducation adéquate</w:t>
      </w:r>
      <w:r w:rsidR="000C3ECB">
        <w:t xml:space="preserve"> ou parce qu’ils sont séduits par des idées qui leur </w:t>
      </w:r>
      <w:r w:rsidR="00ED66B2">
        <w:t>s</w:t>
      </w:r>
      <w:r w:rsidR="000C3ECB">
        <w:t xml:space="preserve">emblent plus nobles et plus vraies que ce qu’ils entendent dire au </w:t>
      </w:r>
      <w:r w:rsidR="000C3ECB">
        <w:lastRenderedPageBreak/>
        <w:t xml:space="preserve">nom de la Thora n’entrent pas dans la définition des </w:t>
      </w:r>
      <w:r w:rsidR="000C3ECB" w:rsidRPr="000C3ECB">
        <w:rPr>
          <w:rStyle w:val="Hbreu"/>
        </w:rPr>
        <w:t>recha‘im</w:t>
      </w:r>
      <w:r w:rsidR="000C3ECB">
        <w:t xml:space="preserve"> qui attirent la </w:t>
      </w:r>
      <w:proofErr w:type="gramStart"/>
      <w:r w:rsidR="000C3ECB">
        <w:t>malédiction</w:t>
      </w:r>
      <w:proofErr w:type="gramEnd"/>
      <w:r w:rsidR="000C3ECB">
        <w:t xml:space="preserve"> sur Israël. Cela signifie que lorsqu’un homme qui se présente comme « religieux », pratiquant, se laisse entrainer par ses vices</w:t>
      </w:r>
      <w:r w:rsidR="00AB7746">
        <w:t>, se conduit de manière malhonnête, se laisse corrompre, trahit la confiance placée en lui ou nuit à son prochain, les conséquences de cette conduite sont infiniment plus graves que celle d’un « non-croyant, non-pratiquant » et constitue un véritable blasphème.</w:t>
      </w:r>
    </w:p>
    <w:p w14:paraId="6720FCD1" w14:textId="77777777" w:rsidR="00AB7746" w:rsidRDefault="00AB7746" w:rsidP="00AB7746">
      <w:pPr>
        <w:pStyle w:val="ActuJ"/>
        <w:bidi w:val="0"/>
      </w:pPr>
      <w:r>
        <w:t xml:space="preserve">Nous ne pouvons que prier et espérer qu’un tel « religieux » se reprenne et s’amende, que les </w:t>
      </w:r>
      <w:r w:rsidRPr="00B01356">
        <w:rPr>
          <w:rStyle w:val="Hbreu"/>
        </w:rPr>
        <w:t>mitzvoth</w:t>
      </w:r>
      <w:r>
        <w:t xml:space="preserve"> qu’il pratique l’aident à se repentir et qu’il revienne de plein droit au sein de la collectivité d’Israël.</w:t>
      </w:r>
    </w:p>
    <w:p w14:paraId="16DF2D9A" w14:textId="77777777" w:rsidR="00AB7746" w:rsidRDefault="00AB7746" w:rsidP="00AB7746">
      <w:pPr>
        <w:pStyle w:val="ActuJ"/>
        <w:bidi w:val="0"/>
      </w:pPr>
      <w:r>
        <w:t>De même espérerons-nous que l’âme présente en chaque Juif finisse par le réveiller de sa torpeur et par le rapprocher de la Thora.</w:t>
      </w:r>
    </w:p>
    <w:p w14:paraId="3ECEA0D6" w14:textId="0F94ACCE" w:rsidR="00AB7746" w:rsidRPr="00991A73" w:rsidRDefault="00AB7746" w:rsidP="00AB7746">
      <w:pPr>
        <w:pStyle w:val="ActuJ"/>
        <w:bidi w:val="0"/>
        <w:rPr>
          <w:rtl/>
        </w:rPr>
      </w:pPr>
      <w:r>
        <w:t xml:space="preserve">  Et puissions-nous tous redresser nos voies et corriger nos faiblesses et qu’alors se réalisent pour tout Israël les bénédictions énoncées dans la paracha.</w:t>
      </w:r>
    </w:p>
    <w:p w14:paraId="3E306276" w14:textId="77777777" w:rsidR="003F0BCF" w:rsidRDefault="003F0BCF" w:rsidP="00C83C96">
      <w:pPr>
        <w:rPr>
          <w:rFonts w:hint="cs"/>
          <w:rtl/>
        </w:rPr>
      </w:pPr>
    </w:p>
    <w:p w14:paraId="3BC4B09D" w14:textId="29729828" w:rsidR="0021208E" w:rsidRPr="0021208E" w:rsidRDefault="0021208E" w:rsidP="003F0BCF">
      <w:pPr>
        <w:pStyle w:val="ActuJ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9FBA" w14:textId="77777777" w:rsidR="00206033" w:rsidRDefault="00206033" w:rsidP="003F0BCF">
      <w:pPr>
        <w:spacing w:line="240" w:lineRule="auto"/>
      </w:pPr>
      <w:r>
        <w:separator/>
      </w:r>
    </w:p>
  </w:endnote>
  <w:endnote w:type="continuationSeparator" w:id="0">
    <w:p w14:paraId="61189BC5" w14:textId="77777777" w:rsidR="00206033" w:rsidRDefault="00206033" w:rsidP="003F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7BC2" w14:textId="77777777" w:rsidR="00206033" w:rsidRDefault="00206033" w:rsidP="000C3ECB">
      <w:pPr>
        <w:bidi w:val="0"/>
        <w:spacing w:line="240" w:lineRule="auto"/>
      </w:pPr>
      <w:r>
        <w:separator/>
      </w:r>
    </w:p>
  </w:footnote>
  <w:footnote w:type="continuationSeparator" w:id="0">
    <w:p w14:paraId="7F4437AE" w14:textId="77777777" w:rsidR="00206033" w:rsidRDefault="00206033" w:rsidP="003F0BCF">
      <w:pPr>
        <w:spacing w:line="240" w:lineRule="auto"/>
      </w:pPr>
      <w:r>
        <w:continuationSeparator/>
      </w:r>
    </w:p>
  </w:footnote>
  <w:footnote w:id="1">
    <w:p w14:paraId="10A02EA7" w14:textId="32A830B2" w:rsidR="000C3ECB" w:rsidRPr="000C3ECB" w:rsidRDefault="000C3ECB" w:rsidP="000C3ECB">
      <w:pPr>
        <w:pStyle w:val="a5"/>
        <w:bidi w:val="0"/>
        <w:jc w:val="both"/>
        <w:rPr>
          <w:rFonts w:asciiTheme="majorBidi" w:hAnsiTheme="majorBidi" w:cstheme="majorBidi"/>
          <w:lang w:val="fr-FR"/>
        </w:rPr>
      </w:pPr>
      <w:r w:rsidRPr="000C3ECB">
        <w:rPr>
          <w:rStyle w:val="a7"/>
          <w:rFonts w:asciiTheme="majorBidi" w:hAnsiTheme="majorBidi" w:cstheme="majorBidi"/>
        </w:rPr>
        <w:footnoteRef/>
      </w:r>
      <w:r w:rsidRPr="000C3ECB">
        <w:rPr>
          <w:rFonts w:asciiTheme="majorBidi" w:hAnsiTheme="majorBidi" w:cstheme="majorBidi"/>
          <w:rtl/>
        </w:rPr>
        <w:t xml:space="preserve"> </w:t>
      </w:r>
      <w:r w:rsidRPr="000C3ECB">
        <w:rPr>
          <w:rFonts w:asciiTheme="majorBidi" w:hAnsiTheme="majorBidi" w:cstheme="majorBidi"/>
          <w:lang w:val="fr-FR"/>
        </w:rPr>
        <w:t xml:space="preserve">Entre guillemets, parce que ce terme ne traduit pas vraiment le mot hébreu </w:t>
      </w:r>
      <w:r w:rsidRPr="000C3ECB">
        <w:rPr>
          <w:rStyle w:val="Hbreu"/>
          <w:rFonts w:asciiTheme="majorBidi" w:hAnsiTheme="majorBidi" w:cstheme="majorBidi"/>
        </w:rPr>
        <w:t>racha‘</w:t>
      </w:r>
      <w:r w:rsidRPr="000C3ECB">
        <w:rPr>
          <w:rFonts w:asciiTheme="majorBidi" w:hAnsiTheme="majorBidi" w:cstheme="majorBidi"/>
          <w:lang w:val="fr-FR"/>
        </w:rPr>
        <w:t xml:space="preserve"> (pluriel </w:t>
      </w:r>
      <w:r w:rsidRPr="000C3ECB">
        <w:rPr>
          <w:rStyle w:val="Hbreu"/>
          <w:rFonts w:asciiTheme="majorBidi" w:hAnsiTheme="majorBidi" w:cstheme="majorBidi"/>
        </w:rPr>
        <w:t>recha‘im</w:t>
      </w:r>
      <w:r w:rsidRPr="000C3ECB">
        <w:rPr>
          <w:rFonts w:asciiTheme="majorBidi" w:hAnsiTheme="majorBidi" w:cstheme="majorBidi"/>
          <w:lang w:val="fr-FR"/>
        </w:rPr>
        <w:t>)</w:t>
      </w:r>
      <w:r>
        <w:rPr>
          <w:rFonts w:asciiTheme="majorBidi" w:hAnsiTheme="majorBidi" w:cstheme="majorBidi"/>
          <w:lang w:val="fr-FR"/>
        </w:rPr>
        <w:t xml:space="preserve">. </w:t>
      </w:r>
      <w:r w:rsidRPr="000C3ECB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D’autant plus que ces « méchants » peuvent être très gentils, serviables et généreux. Dans le vocabulaire traditionnel, le mot désigne des personnes ne pratiquant pas les commandements de la Thora. Encore faut-il élucider le contexte.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CF"/>
    <w:rsid w:val="000C3ECB"/>
    <w:rsid w:val="001D52ED"/>
    <w:rsid w:val="00202698"/>
    <w:rsid w:val="00206033"/>
    <w:rsid w:val="0021208E"/>
    <w:rsid w:val="002A1B89"/>
    <w:rsid w:val="002D34C8"/>
    <w:rsid w:val="003E0437"/>
    <w:rsid w:val="003F0BCF"/>
    <w:rsid w:val="004E4EB6"/>
    <w:rsid w:val="008C6918"/>
    <w:rsid w:val="00991A73"/>
    <w:rsid w:val="00A83F34"/>
    <w:rsid w:val="00AB7746"/>
    <w:rsid w:val="00AC72C5"/>
    <w:rsid w:val="00DE5ABD"/>
    <w:rsid w:val="00E66D7A"/>
    <w:rsid w:val="00E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BDB5"/>
  <w15:chartTrackingRefBased/>
  <w15:docId w15:val="{E3EF5277-C406-47D7-810F-ECA0035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DE5ABD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DE5ABD"/>
    <w:rPr>
      <w:smallCaps/>
      <w:sz w:val="20"/>
      <w:szCs w:val="18"/>
    </w:rPr>
  </w:style>
  <w:style w:type="character" w:customStyle="1" w:styleId="Hbreu">
    <w:name w:val="Hébreu"/>
    <w:basedOn w:val="a0"/>
    <w:qFormat/>
    <w:rsid w:val="002A1B8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paragraph" w:styleId="a5">
    <w:name w:val="footnote text"/>
    <w:basedOn w:val="a"/>
    <w:link w:val="a6"/>
    <w:uiPriority w:val="99"/>
    <w:semiHidden/>
    <w:unhideWhenUsed/>
    <w:rsid w:val="003F0BCF"/>
    <w:pPr>
      <w:suppressAutoHyphens w:val="0"/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6">
    <w:name w:val="טקסט הערת שוליים תו"/>
    <w:basedOn w:val="a0"/>
    <w:link w:val="a5"/>
    <w:uiPriority w:val="99"/>
    <w:semiHidden/>
    <w:rsid w:val="003F0BCF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3F0B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mitzva%20de%20la%20sema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1CD2-8CBD-4D23-82B0-2432E74A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 mitzva de la semaine</Template>
  <TotalTime>0</TotalTime>
  <Pages>2</Pages>
  <Words>497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שאול דוד בוצ'קו</cp:lastModifiedBy>
  <cp:revision>2</cp:revision>
  <dcterms:created xsi:type="dcterms:W3CDTF">2023-05-08T14:39:00Z</dcterms:created>
  <dcterms:modified xsi:type="dcterms:W3CDTF">2023-05-08T14:39:00Z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