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228C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 xml:space="preserve">a </w:t>
      </w:r>
      <w:proofErr w:type="spellStart"/>
      <w:r w:rsidR="00C61FB4">
        <w:rPr>
          <w:sz w:val="40"/>
          <w:szCs w:val="40"/>
        </w:rPr>
        <w:t>paracha</w:t>
      </w:r>
      <w:proofErr w:type="spellEnd"/>
      <w:r w:rsidR="00C61FB4">
        <w:rPr>
          <w:sz w:val="40"/>
          <w:szCs w:val="40"/>
        </w:rPr>
        <w:t xml:space="preserve"> dans le</w:t>
      </w:r>
      <w:r w:rsidRPr="00E2298D">
        <w:rPr>
          <w:sz w:val="40"/>
          <w:szCs w:val="40"/>
        </w:rPr>
        <w:t xml:space="preserve"> </w:t>
      </w:r>
      <w:proofErr w:type="spellStart"/>
      <w:r w:rsidRPr="00E2298D">
        <w:rPr>
          <w:sz w:val="40"/>
          <w:szCs w:val="40"/>
        </w:rPr>
        <w:t>mi</w:t>
      </w:r>
      <w:r w:rsidR="00C61FB4">
        <w:rPr>
          <w:sz w:val="40"/>
          <w:szCs w:val="40"/>
        </w:rPr>
        <w:t>drach</w:t>
      </w:r>
      <w:proofErr w:type="spellEnd"/>
    </w:p>
    <w:p w14:paraId="23A12350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</w:t>
      </w:r>
      <w:proofErr w:type="spellStart"/>
      <w:r w:rsidRPr="003E0437">
        <w:rPr>
          <w:lang w:eastAsia="ar-SA" w:bidi="ar-SA"/>
        </w:rPr>
        <w:t>Rav</w:t>
      </w:r>
      <w:proofErr w:type="spellEnd"/>
      <w:r w:rsidRPr="003E0437">
        <w:rPr>
          <w:lang w:eastAsia="ar-SA" w:bidi="ar-SA"/>
        </w:rPr>
        <w:t xml:space="preserve"> </w:t>
      </w:r>
      <w:proofErr w:type="spellStart"/>
      <w:r w:rsidRPr="003E0437">
        <w:rPr>
          <w:rStyle w:val="Reference"/>
          <w:sz w:val="28"/>
          <w:szCs w:val="28"/>
        </w:rPr>
        <w:t>Shaoul</w:t>
      </w:r>
      <w:proofErr w:type="spellEnd"/>
      <w:r w:rsidRPr="003E0437">
        <w:rPr>
          <w:rStyle w:val="Reference"/>
          <w:sz w:val="28"/>
          <w:szCs w:val="28"/>
        </w:rPr>
        <w:t xml:space="preserve"> David </w:t>
      </w:r>
      <w:proofErr w:type="spellStart"/>
      <w:r w:rsidRPr="003E0437">
        <w:rPr>
          <w:rStyle w:val="Reference"/>
          <w:sz w:val="28"/>
          <w:szCs w:val="28"/>
        </w:rPr>
        <w:t>Botschko</w:t>
      </w:r>
      <w:proofErr w:type="spellEnd"/>
    </w:p>
    <w:p w14:paraId="77D46E5B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 xml:space="preserve">Directeur de la Yeshiva </w:t>
      </w:r>
      <w:proofErr w:type="spellStart"/>
      <w:r w:rsidRPr="00E2298D">
        <w:rPr>
          <w:rStyle w:val="Reference"/>
          <w:b/>
          <w:bCs/>
          <w:sz w:val="18"/>
          <w:szCs w:val="16"/>
        </w:rPr>
        <w:t>Ekhal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Elyahou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Yaacov</w:t>
      </w:r>
      <w:proofErr w:type="spellEnd"/>
      <w:r w:rsidRPr="00E2298D">
        <w:rPr>
          <w:rStyle w:val="Reference"/>
          <w:b/>
          <w:bCs/>
          <w:sz w:val="18"/>
          <w:szCs w:val="16"/>
        </w:rPr>
        <w:t>)</w:t>
      </w:r>
    </w:p>
    <w:p w14:paraId="2B9A7F0A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 xml:space="preserve">Traduit de l’hébreu par </w:t>
      </w:r>
      <w:proofErr w:type="spellStart"/>
      <w:r w:rsidRPr="00C418D4">
        <w:rPr>
          <w:sz w:val="16"/>
          <w:szCs w:val="14"/>
        </w:rPr>
        <w:t>Elyakim</w:t>
      </w:r>
      <w:proofErr w:type="spellEnd"/>
      <w:r w:rsidRPr="00C418D4">
        <w:rPr>
          <w:sz w:val="16"/>
          <w:szCs w:val="14"/>
        </w:rPr>
        <w:t xml:space="preserve"> P. </w:t>
      </w:r>
      <w:proofErr w:type="spellStart"/>
      <w:r w:rsidRPr="00C418D4">
        <w:rPr>
          <w:sz w:val="16"/>
          <w:szCs w:val="14"/>
        </w:rPr>
        <w:t>Simsovic</w:t>
      </w:r>
      <w:proofErr w:type="spellEnd"/>
    </w:p>
    <w:p w14:paraId="61085E59" w14:textId="550EB8B0" w:rsidR="00202698" w:rsidRDefault="00AC72C5" w:rsidP="0021208E">
      <w:pPr>
        <w:pStyle w:val="Paracha"/>
      </w:pPr>
      <w:proofErr w:type="spellStart"/>
      <w:r>
        <w:t>Parachat</w:t>
      </w:r>
      <w:proofErr w:type="spellEnd"/>
      <w:r w:rsidR="0021208E">
        <w:t xml:space="preserve"> </w:t>
      </w:r>
      <w:proofErr w:type="spellStart"/>
      <w:r w:rsidR="00A02930">
        <w:t>Tazri‘a</w:t>
      </w:r>
      <w:proofErr w:type="spellEnd"/>
      <w:r w:rsidR="00A02930">
        <w:t xml:space="preserve"> – </w:t>
      </w:r>
      <w:proofErr w:type="spellStart"/>
      <w:r w:rsidR="00A02930">
        <w:t>Metzora</w:t>
      </w:r>
      <w:proofErr w:type="spellEnd"/>
      <w:r w:rsidR="00A02930">
        <w:t>‘</w:t>
      </w:r>
    </w:p>
    <w:p w14:paraId="1918739F" w14:textId="5E2D0231" w:rsidR="003E0437" w:rsidRDefault="00A02930" w:rsidP="003E0437">
      <w:pPr>
        <w:pStyle w:val="Sous-titre"/>
        <w:bidi w:val="0"/>
        <w:spacing w:before="120" w:after="360" w:line="240" w:lineRule="auto"/>
      </w:pPr>
      <w:r w:rsidRPr="00A02930">
        <w:rPr>
          <w:rStyle w:val="Hbreu"/>
        </w:rPr>
        <w:t>Lachone hara‘</w:t>
      </w:r>
      <w:r>
        <w:t xml:space="preserve"> et les cinq livres de la Thora</w:t>
      </w:r>
    </w:p>
    <w:p w14:paraId="46D9D56E" w14:textId="6C020790" w:rsidR="00A02930" w:rsidRDefault="00A02930" w:rsidP="00A02930">
      <w:pPr>
        <w:pStyle w:val="ActuJ"/>
        <w:bidi w:val="0"/>
      </w:pPr>
      <w:r>
        <w:t xml:space="preserve">La </w:t>
      </w:r>
      <w:proofErr w:type="spellStart"/>
      <w:r>
        <w:t>paracha</w:t>
      </w:r>
      <w:proofErr w:type="spellEnd"/>
      <w:r>
        <w:t xml:space="preserve"> traite de la « lèpre » et de la manière de s’en purifier. La tradition nous enseigne que cette « maladie » est le châtiment de celui qui s’est rendu coupable de </w:t>
      </w:r>
      <w:r w:rsidRPr="00A02930">
        <w:rPr>
          <w:rStyle w:val="Hbreu"/>
        </w:rPr>
        <w:t>lachone hara‘</w:t>
      </w:r>
      <w:r>
        <w:t xml:space="preserve">. </w:t>
      </w:r>
      <w:r w:rsidR="004543D5">
        <w:t xml:space="preserve">Le </w:t>
      </w:r>
      <w:proofErr w:type="spellStart"/>
      <w:r w:rsidR="004543D5">
        <w:t>Midrach</w:t>
      </w:r>
      <w:proofErr w:type="spellEnd"/>
      <w:r w:rsidR="004543D5">
        <w:t xml:space="preserve"> fait remarquer que le mot Thora apparaît cinq fois en relation avec le </w:t>
      </w:r>
      <w:r w:rsidR="004543D5" w:rsidRPr="00A02930">
        <w:rPr>
          <w:rStyle w:val="Hbreu"/>
        </w:rPr>
        <w:t>lachone hara‘</w:t>
      </w:r>
      <w:r w:rsidR="004543D5" w:rsidRPr="004543D5">
        <w:t xml:space="preserve">, </w:t>
      </w:r>
      <w:r w:rsidR="004543D5">
        <w:t xml:space="preserve">ce qui indique que celui qui fait un tel usage de la parole contredit les cinq livres de la Thora </w:t>
      </w:r>
      <w:r w:rsidR="004543D5" w:rsidRPr="004543D5">
        <w:rPr>
          <w:rStyle w:val="Reference"/>
        </w:rPr>
        <w:t xml:space="preserve">(Lévitique </w:t>
      </w:r>
      <w:proofErr w:type="spellStart"/>
      <w:r w:rsidR="004543D5" w:rsidRPr="004543D5">
        <w:rPr>
          <w:rStyle w:val="Reference"/>
        </w:rPr>
        <w:t>Rabba</w:t>
      </w:r>
      <w:proofErr w:type="spellEnd"/>
      <w:r w:rsidR="004543D5" w:rsidRPr="004543D5">
        <w:rPr>
          <w:rStyle w:val="Reference"/>
        </w:rPr>
        <w:t>, 16, 6)</w:t>
      </w:r>
      <w:r w:rsidR="004543D5">
        <w:t> :</w:t>
      </w:r>
    </w:p>
    <w:p w14:paraId="4A78B267" w14:textId="72BA8C54" w:rsidR="004543D5" w:rsidRDefault="004543D5" w:rsidP="004543D5">
      <w:pPr>
        <w:pStyle w:val="Citation"/>
      </w:pPr>
      <w:r>
        <w:t xml:space="preserve">« Rabbi </w:t>
      </w:r>
      <w:proofErr w:type="spellStart"/>
      <w:r>
        <w:t>Yehoch</w:t>
      </w:r>
      <w:r w:rsidR="00280DFA">
        <w:t>o</w:t>
      </w:r>
      <w:r>
        <w:t>u‘a</w:t>
      </w:r>
      <w:proofErr w:type="spellEnd"/>
      <w:r>
        <w:t xml:space="preserve"> ben Lévi a enseigné : cinq fois le mot Thora apparaît en relation avec le </w:t>
      </w:r>
      <w:r w:rsidRPr="004543D5">
        <w:rPr>
          <w:rStyle w:val="Hbreu"/>
        </w:rPr>
        <w:t>metzora‘</w:t>
      </w:r>
      <w:r>
        <w:t xml:space="preserve">, le </w:t>
      </w:r>
      <w:r w:rsidR="0066001E">
        <w:t>“</w:t>
      </w:r>
      <w:r>
        <w:t>lépreux</w:t>
      </w:r>
      <w:r w:rsidR="0066001E">
        <w:t>”</w:t>
      </w:r>
      <w:r>
        <w:t xml:space="preserve">. </w:t>
      </w:r>
      <w:r w:rsidR="0066001E">
        <w:t>“</w:t>
      </w:r>
      <w:r>
        <w:t>Ceci est la Thora de la plaie lépreuse</w:t>
      </w:r>
      <w:r w:rsidR="0066001E">
        <w:t>”</w:t>
      </w:r>
      <w:r>
        <w:rPr>
          <w:rStyle w:val="a7"/>
        </w:rPr>
        <w:footnoteReference w:id="1"/>
      </w:r>
      <w:r>
        <w:t>,</w:t>
      </w:r>
      <w:r w:rsidR="00C07A17">
        <w:t xml:space="preserve"> </w:t>
      </w:r>
      <w:r w:rsidR="0066001E">
        <w:t>“</w:t>
      </w:r>
      <w:r w:rsidR="00C07A17">
        <w:t>ceci sera la Thora du lépreux</w:t>
      </w:r>
      <w:r w:rsidR="0066001E">
        <w:t>”</w:t>
      </w:r>
      <w:r w:rsidR="00C07A17">
        <w:rPr>
          <w:rStyle w:val="a7"/>
        </w:rPr>
        <w:footnoteReference w:id="2"/>
      </w:r>
      <w:r w:rsidR="00C07A17">
        <w:t>,</w:t>
      </w:r>
      <w:r w:rsidR="0066001E">
        <w:t xml:space="preserve"> “ceci est la Thora de celui en qui plaie lépreuse”</w:t>
      </w:r>
      <w:r w:rsidR="0066001E">
        <w:rPr>
          <w:rStyle w:val="a7"/>
        </w:rPr>
        <w:footnoteReference w:id="3"/>
      </w:r>
      <w:r w:rsidR="0066001E">
        <w:t>, “ceci est la Thora de toute plaie lépreuse”</w:t>
      </w:r>
      <w:r w:rsidR="0066001E">
        <w:rPr>
          <w:rStyle w:val="a7"/>
        </w:rPr>
        <w:footnoteReference w:id="4"/>
      </w:r>
      <w:r w:rsidR="0066001E">
        <w:t>, “ceci est la Thora de la lèpre”</w:t>
      </w:r>
      <w:r w:rsidR="0066001E">
        <w:rPr>
          <w:rStyle w:val="a7"/>
        </w:rPr>
        <w:footnoteReference w:id="5"/>
      </w:r>
      <w:r w:rsidR="0066001E">
        <w:t>. Ceci sera la Thora du lépreux</w:t>
      </w:r>
      <w:r w:rsidR="00280DFA">
        <w:t>,</w:t>
      </w:r>
      <w:r w:rsidR="0066001E">
        <w:t xml:space="preserve"> </w:t>
      </w:r>
      <w:r w:rsidR="00280DFA">
        <w:t>du calomniateur</w:t>
      </w:r>
      <w:r w:rsidR="008C5535">
        <w:rPr>
          <w:rStyle w:val="a7"/>
        </w:rPr>
        <w:footnoteReference w:id="6"/>
      </w:r>
      <w:r w:rsidR="008C5535">
        <w:t>,</w:t>
      </w:r>
      <w:r w:rsidR="00280DFA">
        <w:t xml:space="preserve"> pour t’enseigner que quiconque parle la langue du mal transgresse les cinq Livres de la Thora. C’est pourquoi Moïse met en garde Israël – ceci sera la Thora du lépreux. »</w:t>
      </w:r>
    </w:p>
    <w:p w14:paraId="6B815749" w14:textId="09EBCFAE" w:rsidR="00280DFA" w:rsidRDefault="00280DFA" w:rsidP="00280DFA">
      <w:pPr>
        <w:pStyle w:val="ActuJ"/>
        <w:bidi w:val="0"/>
      </w:pPr>
      <w:r>
        <w:t>Quel rapport ?</w:t>
      </w:r>
    </w:p>
    <w:p w14:paraId="3F415E1A" w14:textId="625D8921" w:rsidR="00A02930" w:rsidRDefault="00280DFA" w:rsidP="00BC3FC2">
      <w:pPr>
        <w:pStyle w:val="ActuJ"/>
        <w:bidi w:val="0"/>
      </w:pPr>
      <w:r>
        <w:t xml:space="preserve">Le Livre de </w:t>
      </w:r>
      <w:proofErr w:type="spellStart"/>
      <w:r w:rsidR="00E65F58">
        <w:t>Beréchit</w:t>
      </w:r>
      <w:proofErr w:type="spellEnd"/>
      <w:r>
        <w:t xml:space="preserve"> rapporte l’histoire de Joseph et de ses frères</w:t>
      </w:r>
      <w:r w:rsidR="00730CAC">
        <w:t>,</w:t>
      </w:r>
      <w:r>
        <w:t xml:space="preserve"> génératrice de catastrophes </w:t>
      </w:r>
      <w:proofErr w:type="gramStart"/>
      <w:r>
        <w:t>suite aux</w:t>
      </w:r>
      <w:proofErr w:type="gramEnd"/>
      <w:r>
        <w:t xml:space="preserve"> mauvaises paroles qui régnaient entre eux. Celui qui dit du mal de sa famille témoigne du fait qu’il n’a pas appris la leçon du Livre </w:t>
      </w:r>
      <w:r w:rsidR="00E65F58">
        <w:t xml:space="preserve">de </w:t>
      </w:r>
      <w:proofErr w:type="spellStart"/>
      <w:r w:rsidR="00E65F58">
        <w:t>Beréchit</w:t>
      </w:r>
      <w:proofErr w:type="spellEnd"/>
      <w:r>
        <w:t>.</w:t>
      </w:r>
    </w:p>
    <w:p w14:paraId="133A155C" w14:textId="37AA0B46" w:rsidR="00BC3FC2" w:rsidRDefault="00BC3FC2" w:rsidP="00BC3FC2">
      <w:pPr>
        <w:pStyle w:val="ActuJ"/>
        <w:bidi w:val="0"/>
      </w:pPr>
      <w:r>
        <w:t xml:space="preserve">Le Livre de </w:t>
      </w:r>
      <w:proofErr w:type="spellStart"/>
      <w:r>
        <w:t>Chemot</w:t>
      </w:r>
      <w:proofErr w:type="spellEnd"/>
      <w:r>
        <w:t xml:space="preserve"> est celui de la transformation de la famille des patriarches pour devenir le peuple d’Israël. Moïse, au Buisson ardent, a vu sa main devenir lépreuse parce que, alors qu’</w:t>
      </w:r>
      <w:proofErr w:type="spellStart"/>
      <w:r>
        <w:t>Hachem</w:t>
      </w:r>
      <w:proofErr w:type="spellEnd"/>
      <w:r>
        <w:t xml:space="preserve"> le charge de mission pour aller </w:t>
      </w:r>
      <w:proofErr w:type="gramStart"/>
      <w:r>
        <w:t>dire</w:t>
      </w:r>
      <w:proofErr w:type="gramEnd"/>
      <w:r>
        <w:t xml:space="preserve"> aux Hébreux que le temps de leur libération est arrivé, il se dérobe en disant </w:t>
      </w:r>
      <w:r w:rsidRPr="00BC3FC2">
        <w:rPr>
          <w:rStyle w:val="Reference"/>
        </w:rPr>
        <w:t>(</w:t>
      </w:r>
      <w:proofErr w:type="spellStart"/>
      <w:r w:rsidRPr="00BC3FC2">
        <w:rPr>
          <w:rStyle w:val="Reference"/>
        </w:rPr>
        <w:t>Chemot</w:t>
      </w:r>
      <w:proofErr w:type="spellEnd"/>
      <w:r w:rsidRPr="00BC3FC2">
        <w:rPr>
          <w:rStyle w:val="Reference"/>
        </w:rPr>
        <w:t xml:space="preserve"> </w:t>
      </w:r>
      <w:r w:rsidRPr="00BC3FC2">
        <w:rPr>
          <w:rStyle w:val="Chapitre"/>
        </w:rPr>
        <w:t>iv</w:t>
      </w:r>
      <w:r w:rsidRPr="00BC3FC2">
        <w:rPr>
          <w:rStyle w:val="Reference"/>
        </w:rPr>
        <w:t>, 1)</w:t>
      </w:r>
      <w:r>
        <w:t xml:space="preserve"> : « ils ne me croiront pas et ne m’écouteront pas. » Celui qui dit du </w:t>
      </w:r>
      <w:r>
        <w:lastRenderedPageBreak/>
        <w:t xml:space="preserve">mal du peuple d’Israël témoigne du fait qu’il n’a pas appris la leçon du Livre de </w:t>
      </w:r>
      <w:proofErr w:type="spellStart"/>
      <w:r>
        <w:t>Chemot</w:t>
      </w:r>
      <w:proofErr w:type="spellEnd"/>
      <w:r>
        <w:t>.</w:t>
      </w:r>
    </w:p>
    <w:p w14:paraId="5CF5288C" w14:textId="2E535401" w:rsidR="00BC3FC2" w:rsidRDefault="00BC3FC2" w:rsidP="00BC3FC2">
      <w:pPr>
        <w:pStyle w:val="ActuJ"/>
        <w:bidi w:val="0"/>
      </w:pPr>
      <w:r>
        <w:t>Le Livre d</w:t>
      </w:r>
      <w:r w:rsidR="00E65F58">
        <w:t>e</w:t>
      </w:r>
      <w:r>
        <w:t xml:space="preserve"> </w:t>
      </w:r>
      <w:proofErr w:type="spellStart"/>
      <w:r w:rsidR="00E65F58">
        <w:t>Vayiqra</w:t>
      </w:r>
      <w:proofErr w:type="spellEnd"/>
      <w:r>
        <w:t xml:space="preserve"> est le livre de la sainteté, qui enseigne l’intensité de sainteté, corps et âme, de chaque membre d’Israël. Prêter sa langue au mal porte atteinte à la sainteté et entraîne pour le coupable une « lèpre » qui le rend impur. </w:t>
      </w:r>
      <w:r w:rsidR="00936BBE">
        <w:t xml:space="preserve">Qui agit ainsi à l’égard de son prochain témoigne du fait qu’il n’a pas appris la leçon du Livre </w:t>
      </w:r>
      <w:r w:rsidR="00E65F58">
        <w:t xml:space="preserve">de </w:t>
      </w:r>
      <w:proofErr w:type="spellStart"/>
      <w:r w:rsidR="00E65F58">
        <w:t>Vayiqra</w:t>
      </w:r>
      <w:proofErr w:type="spellEnd"/>
      <w:r w:rsidR="00936BBE">
        <w:t>, qu’il n’a pas intériorisé ce qu’est la sainteté de toute personne en Israël et, du même coup, porte atteinte à sa propre sainteté.</w:t>
      </w:r>
    </w:p>
    <w:p w14:paraId="63D253F4" w14:textId="34F52C13" w:rsidR="00936BBE" w:rsidRDefault="00936BBE" w:rsidP="00936BBE">
      <w:pPr>
        <w:pStyle w:val="ActuJ"/>
        <w:bidi w:val="0"/>
      </w:pPr>
      <w:r>
        <w:t xml:space="preserve">Le Livre de </w:t>
      </w:r>
      <w:proofErr w:type="spellStart"/>
      <w:r w:rsidR="00E65F58">
        <w:t>Bamidbar</w:t>
      </w:r>
      <w:proofErr w:type="spellEnd"/>
      <w:r>
        <w:t xml:space="preserve"> est le livre de la marche au désert vers la Terre d’Israël. La médisance des explorateurs dénigrant la Terre d’Israël a retardé de quarante ans notre entrée dans le Pays. Celui qui dit du mal de la Terre d’Israël témoigne du fait qu’il n’a pas appris la leçon du Livre </w:t>
      </w:r>
      <w:r w:rsidR="00E65F58">
        <w:t xml:space="preserve">de </w:t>
      </w:r>
      <w:proofErr w:type="spellStart"/>
      <w:r w:rsidR="00E65F58">
        <w:t>Bamidbar</w:t>
      </w:r>
      <w:proofErr w:type="spellEnd"/>
      <w:r w:rsidR="00E65F58">
        <w:t xml:space="preserve"> et il continue d’agir à la manière des explorateurs</w:t>
      </w:r>
      <w:r>
        <w:t>.</w:t>
      </w:r>
    </w:p>
    <w:p w14:paraId="0FF4A4C1" w14:textId="33049AD4" w:rsidR="00CB0B7F" w:rsidRDefault="00E65F58" w:rsidP="00CB0B7F">
      <w:pPr>
        <w:pStyle w:val="ActuJ"/>
        <w:bidi w:val="0"/>
      </w:pPr>
      <w:r>
        <w:t xml:space="preserve">Le Livre de </w:t>
      </w:r>
      <w:proofErr w:type="spellStart"/>
      <w:r>
        <w:t>Devarim</w:t>
      </w:r>
      <w:proofErr w:type="spellEnd"/>
      <w:r>
        <w:t xml:space="preserve"> est le livre de la préparation à l’entrée en </w:t>
      </w:r>
      <w:proofErr w:type="spellStart"/>
      <w:r>
        <w:t>Eretz</w:t>
      </w:r>
      <w:proofErr w:type="spellEnd"/>
      <w:r>
        <w:t xml:space="preserve"> Israël. Il nous </w:t>
      </w:r>
      <w:r w:rsidR="00CB0B7F">
        <w:t xml:space="preserve">enjoint </w:t>
      </w:r>
      <w:r w:rsidRPr="00E65F58">
        <w:rPr>
          <w:rStyle w:val="Reference"/>
        </w:rPr>
        <w:t>(</w:t>
      </w:r>
      <w:r w:rsidRPr="00E65F58">
        <w:rPr>
          <w:rStyle w:val="Chapitre"/>
        </w:rPr>
        <w:t>xxiv</w:t>
      </w:r>
      <w:r w:rsidRPr="00E65F58">
        <w:rPr>
          <w:rStyle w:val="Reference"/>
        </w:rPr>
        <w:t>, 9)</w:t>
      </w:r>
      <w:r>
        <w:t xml:space="preserve"> : </w:t>
      </w:r>
      <w:r w:rsidR="00CB0B7F" w:rsidRPr="00CB0B7F">
        <w:rPr>
          <w:rStyle w:val="EnLigne"/>
        </w:rPr>
        <w:t>« Rappeler ce qu’</w:t>
      </w:r>
      <w:proofErr w:type="spellStart"/>
      <w:r w:rsidR="00CB0B7F" w:rsidRPr="00CB0B7F">
        <w:rPr>
          <w:rStyle w:val="EnLigne"/>
        </w:rPr>
        <w:t>Hachem</w:t>
      </w:r>
      <w:proofErr w:type="spellEnd"/>
      <w:r w:rsidR="00CB0B7F" w:rsidRPr="00CB0B7F">
        <w:rPr>
          <w:rStyle w:val="EnLigne"/>
        </w:rPr>
        <w:t xml:space="preserve"> ton Dieu a fait à Myriam, en chemin, quand vous sortiez d’Égypte. »</w:t>
      </w:r>
      <w:r w:rsidR="00CB0B7F">
        <w:t xml:space="preserve"> </w:t>
      </w:r>
      <w:r w:rsidR="00CB0B7F" w:rsidRPr="00CB0B7F">
        <w:t>M</w:t>
      </w:r>
      <w:r w:rsidR="00CB0B7F">
        <w:t>yriam a été frappée de lèpre pour avoir imprudemment parlé à la légère de Moïse, ce qui nous enseigne à ne pas dire n’importe quoi des dirigeants d’Israël et à ne pas systématiquement interpréter leurs actions à charge.</w:t>
      </w:r>
    </w:p>
    <w:p w14:paraId="72BBC386" w14:textId="2D81757B" w:rsidR="00CB0B7F" w:rsidRDefault="00CB0B7F" w:rsidP="00CB0B7F">
      <w:pPr>
        <w:pStyle w:val="ActuJ"/>
        <w:bidi w:val="0"/>
      </w:pPr>
      <w:r>
        <w:t xml:space="preserve">Ceci sera la Thora du </w:t>
      </w:r>
      <w:r w:rsidRPr="00CB0B7F">
        <w:rPr>
          <w:rStyle w:val="Hbreu"/>
        </w:rPr>
        <w:t>metzora‘</w:t>
      </w:r>
      <w:r>
        <w:t xml:space="preserve">. Et quant à nous, nous voulons être la génération de la réparation des fautes du </w:t>
      </w:r>
      <w:r w:rsidRPr="00CB0B7F">
        <w:rPr>
          <w:rStyle w:val="Hbreu"/>
        </w:rPr>
        <w:t>lachone hara‘</w:t>
      </w:r>
      <w:r>
        <w:t xml:space="preserve">. Nous voulons être la génération de ceux qui se parlent avec amour, qui hissent au plus haut leur famille et leur peuple, </w:t>
      </w:r>
      <w:r w:rsidR="00AB5514">
        <w:t>qui élèvent la sainteté qui est en nous, qui renforcent le lien profond qui nous attache à notre terre et s’efforcent d’agir pour l’unité du peuple et de ses dirigeants.</w:t>
      </w:r>
    </w:p>
    <w:sectPr w:rsidR="00CB0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163F" w14:textId="77777777" w:rsidR="003B3C8F" w:rsidRDefault="003B3C8F" w:rsidP="00A02930">
      <w:pPr>
        <w:spacing w:line="240" w:lineRule="auto"/>
      </w:pPr>
      <w:r>
        <w:separator/>
      </w:r>
    </w:p>
  </w:endnote>
  <w:endnote w:type="continuationSeparator" w:id="0">
    <w:p w14:paraId="154892C7" w14:textId="77777777" w:rsidR="003B3C8F" w:rsidRDefault="003B3C8F" w:rsidP="00A02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FA62" w14:textId="77777777" w:rsidR="003B3C8F" w:rsidRDefault="003B3C8F" w:rsidP="00A02930">
      <w:pPr>
        <w:spacing w:line="240" w:lineRule="auto"/>
      </w:pPr>
      <w:r>
        <w:separator/>
      </w:r>
    </w:p>
  </w:footnote>
  <w:footnote w:type="continuationSeparator" w:id="0">
    <w:p w14:paraId="5EF0CAC1" w14:textId="77777777" w:rsidR="003B3C8F" w:rsidRDefault="003B3C8F" w:rsidP="00A02930">
      <w:pPr>
        <w:spacing w:line="240" w:lineRule="auto"/>
      </w:pPr>
      <w:r>
        <w:continuationSeparator/>
      </w:r>
    </w:p>
  </w:footnote>
  <w:footnote w:id="1">
    <w:p w14:paraId="0031AE3C" w14:textId="1FCE4721" w:rsidR="004543D5" w:rsidRPr="00C07A17" w:rsidRDefault="004543D5" w:rsidP="004543D5">
      <w:pPr>
        <w:pStyle w:val="a5"/>
        <w:bidi w:val="0"/>
        <w:rPr>
          <w:rFonts w:asciiTheme="majorBidi" w:hAnsiTheme="majorBidi" w:cstheme="majorBidi"/>
          <w:lang w:val="fr-FR"/>
        </w:rPr>
      </w:pPr>
      <w:r w:rsidRPr="00C07A17">
        <w:rPr>
          <w:rStyle w:val="a7"/>
          <w:rFonts w:asciiTheme="majorBidi" w:hAnsiTheme="majorBidi" w:cstheme="majorBidi"/>
        </w:rPr>
        <w:footnoteRef/>
      </w:r>
      <w:r w:rsidRPr="00C07A17">
        <w:rPr>
          <w:rFonts w:asciiTheme="majorBidi" w:hAnsiTheme="majorBidi" w:cstheme="majorBidi"/>
          <w:rtl/>
        </w:rPr>
        <w:t xml:space="preserve"> </w:t>
      </w:r>
      <w:r w:rsidRPr="00C07A17">
        <w:rPr>
          <w:rFonts w:asciiTheme="majorBidi" w:hAnsiTheme="majorBidi" w:cstheme="majorBidi"/>
          <w:lang w:val="fr-FR"/>
        </w:rPr>
        <w:t xml:space="preserve">Lévitique </w:t>
      </w:r>
      <w:r w:rsidRPr="00730CAC">
        <w:rPr>
          <w:rStyle w:val="Chapitre"/>
          <w:rFonts w:asciiTheme="majorBidi" w:hAnsiTheme="majorBidi" w:cstheme="majorBidi"/>
          <w:lang w:val="fr-FR"/>
        </w:rPr>
        <w:t>xiii</w:t>
      </w:r>
      <w:r w:rsidRPr="00C07A17">
        <w:rPr>
          <w:rFonts w:asciiTheme="majorBidi" w:hAnsiTheme="majorBidi" w:cstheme="majorBidi"/>
          <w:lang w:val="fr-FR"/>
        </w:rPr>
        <w:t>, 59.</w:t>
      </w:r>
    </w:p>
  </w:footnote>
  <w:footnote w:id="2">
    <w:p w14:paraId="2B842DB0" w14:textId="045F165A" w:rsidR="00C07A17" w:rsidRPr="00C07A17" w:rsidRDefault="00C07A17" w:rsidP="00C07A17">
      <w:pPr>
        <w:pStyle w:val="a5"/>
        <w:bidi w:val="0"/>
        <w:rPr>
          <w:lang w:val="fr-FR"/>
        </w:rPr>
      </w:pPr>
      <w:r w:rsidRPr="00C07A17">
        <w:rPr>
          <w:rStyle w:val="a7"/>
          <w:rFonts w:asciiTheme="majorBidi" w:hAnsiTheme="majorBidi" w:cstheme="majorBidi"/>
        </w:rPr>
        <w:footnoteRef/>
      </w:r>
      <w:r w:rsidRPr="00C07A17">
        <w:rPr>
          <w:rFonts w:asciiTheme="majorBidi" w:hAnsiTheme="majorBidi" w:cstheme="majorBidi"/>
          <w:rtl/>
        </w:rPr>
        <w:t xml:space="preserve"> </w:t>
      </w:r>
      <w:r w:rsidRPr="00C07A17">
        <w:rPr>
          <w:rFonts w:asciiTheme="majorBidi" w:hAnsiTheme="majorBidi" w:cstheme="majorBidi"/>
          <w:lang w:val="fr-FR"/>
        </w:rPr>
        <w:t xml:space="preserve">Lévitique </w:t>
      </w:r>
      <w:r w:rsidRPr="00730CAC">
        <w:rPr>
          <w:rStyle w:val="Chapitre"/>
          <w:lang w:val="fr-FR"/>
        </w:rPr>
        <w:t>xiv</w:t>
      </w:r>
      <w:r w:rsidRPr="00C07A17">
        <w:rPr>
          <w:rFonts w:asciiTheme="majorBidi" w:hAnsiTheme="majorBidi" w:cstheme="majorBidi"/>
          <w:lang w:val="fr-FR"/>
        </w:rPr>
        <w:t>, 2</w:t>
      </w:r>
      <w:r>
        <w:rPr>
          <w:rFonts w:asciiTheme="majorBidi" w:hAnsiTheme="majorBidi" w:cstheme="majorBidi"/>
          <w:lang w:val="fr-FR"/>
        </w:rPr>
        <w:t>.</w:t>
      </w:r>
    </w:p>
  </w:footnote>
  <w:footnote w:id="3">
    <w:p w14:paraId="26A2BF91" w14:textId="369BD2FC" w:rsidR="0066001E" w:rsidRPr="0066001E" w:rsidRDefault="0066001E" w:rsidP="0066001E">
      <w:pPr>
        <w:pStyle w:val="a5"/>
        <w:bidi w:val="0"/>
        <w:rPr>
          <w:lang w:val="fr-FR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C07A17">
        <w:rPr>
          <w:rFonts w:asciiTheme="majorBidi" w:hAnsiTheme="majorBidi" w:cstheme="majorBidi"/>
          <w:lang w:val="fr-FR"/>
        </w:rPr>
        <w:t xml:space="preserve">Lévitique </w:t>
      </w:r>
      <w:r w:rsidRPr="00730CAC">
        <w:rPr>
          <w:rStyle w:val="Chapitre"/>
          <w:lang w:val="fr-FR"/>
        </w:rPr>
        <w:t>xiv</w:t>
      </w:r>
      <w:r w:rsidRPr="00C07A17">
        <w:rPr>
          <w:rFonts w:asciiTheme="majorBidi" w:hAnsiTheme="majorBidi" w:cstheme="majorBidi"/>
          <w:lang w:val="fr-FR"/>
        </w:rPr>
        <w:t xml:space="preserve">, </w:t>
      </w:r>
      <w:r>
        <w:rPr>
          <w:lang w:val="fr-FR"/>
        </w:rPr>
        <w:t>32.</w:t>
      </w:r>
    </w:p>
  </w:footnote>
  <w:footnote w:id="4">
    <w:p w14:paraId="643516FA" w14:textId="16AD63F8" w:rsidR="0066001E" w:rsidRPr="0066001E" w:rsidRDefault="0066001E" w:rsidP="0066001E">
      <w:pPr>
        <w:pStyle w:val="a5"/>
        <w:bidi w:val="0"/>
        <w:rPr>
          <w:lang w:val="fr-FR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C07A17">
        <w:rPr>
          <w:rFonts w:asciiTheme="majorBidi" w:hAnsiTheme="majorBidi" w:cstheme="majorBidi"/>
          <w:lang w:val="fr-FR"/>
        </w:rPr>
        <w:t xml:space="preserve">Lévitique </w:t>
      </w:r>
      <w:r w:rsidRPr="00730CAC">
        <w:rPr>
          <w:rStyle w:val="Chapitre"/>
          <w:lang w:val="fr-FR"/>
        </w:rPr>
        <w:t>xiv</w:t>
      </w:r>
      <w:r w:rsidRPr="00C07A17">
        <w:rPr>
          <w:rFonts w:asciiTheme="majorBidi" w:hAnsiTheme="majorBidi" w:cstheme="majorBidi"/>
          <w:lang w:val="fr-FR"/>
        </w:rPr>
        <w:t xml:space="preserve">, </w:t>
      </w:r>
      <w:r>
        <w:rPr>
          <w:lang w:val="fr-FR"/>
        </w:rPr>
        <w:t>54.</w:t>
      </w:r>
    </w:p>
  </w:footnote>
  <w:footnote w:id="5">
    <w:p w14:paraId="4D7C963E" w14:textId="01F9E4D3" w:rsidR="0066001E" w:rsidRPr="0066001E" w:rsidRDefault="0066001E" w:rsidP="0066001E">
      <w:pPr>
        <w:pStyle w:val="a5"/>
        <w:bidi w:val="0"/>
        <w:rPr>
          <w:lang w:val="fr-FR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C07A17">
        <w:rPr>
          <w:rFonts w:asciiTheme="majorBidi" w:hAnsiTheme="majorBidi" w:cstheme="majorBidi"/>
          <w:lang w:val="fr-FR"/>
        </w:rPr>
        <w:t xml:space="preserve">Lévitique </w:t>
      </w:r>
      <w:r w:rsidRPr="00730CAC">
        <w:rPr>
          <w:rStyle w:val="Chapitre"/>
          <w:lang w:val="fr-FR"/>
        </w:rPr>
        <w:t>xiv</w:t>
      </w:r>
      <w:r w:rsidRPr="00C07A17">
        <w:rPr>
          <w:rFonts w:asciiTheme="majorBidi" w:hAnsiTheme="majorBidi" w:cstheme="majorBidi"/>
          <w:lang w:val="fr-FR"/>
        </w:rPr>
        <w:t xml:space="preserve">, </w:t>
      </w:r>
      <w:r>
        <w:rPr>
          <w:lang w:val="fr-FR"/>
        </w:rPr>
        <w:t>57.</w:t>
      </w:r>
    </w:p>
  </w:footnote>
  <w:footnote w:id="6">
    <w:p w14:paraId="5AC448E1" w14:textId="046FE11D" w:rsidR="008C5535" w:rsidRPr="008C5535" w:rsidRDefault="008C5535" w:rsidP="00280DFA">
      <w:pPr>
        <w:pStyle w:val="a5"/>
        <w:bidi w:val="0"/>
        <w:jc w:val="both"/>
        <w:rPr>
          <w:rFonts w:asciiTheme="majorBidi" w:hAnsiTheme="majorBidi" w:cstheme="majorBidi"/>
          <w:lang w:val="fr-FR"/>
        </w:rPr>
      </w:pPr>
      <w:r w:rsidRPr="008C5535">
        <w:rPr>
          <w:rStyle w:val="a7"/>
          <w:rFonts w:asciiTheme="majorBidi" w:hAnsiTheme="majorBidi" w:cstheme="majorBidi"/>
        </w:rPr>
        <w:footnoteRef/>
      </w:r>
      <w:r w:rsidRPr="008C5535">
        <w:rPr>
          <w:rFonts w:asciiTheme="majorBidi" w:hAnsiTheme="majorBidi" w:cstheme="majorBidi"/>
          <w:rtl/>
        </w:rPr>
        <w:t xml:space="preserve"> </w:t>
      </w:r>
      <w:r w:rsidRPr="008C5535">
        <w:rPr>
          <w:rFonts w:asciiTheme="majorBidi" w:hAnsiTheme="majorBidi" w:cstheme="majorBidi"/>
          <w:lang w:val="fr-FR"/>
        </w:rPr>
        <w:t xml:space="preserve">Assonance : </w:t>
      </w:r>
      <w:r w:rsidRPr="008C5535">
        <w:rPr>
          <w:rStyle w:val="Hbreu"/>
        </w:rPr>
        <w:t>metzora‘</w:t>
      </w:r>
      <w:r w:rsidRPr="008C5535">
        <w:rPr>
          <w:rFonts w:asciiTheme="majorBidi" w:hAnsiTheme="majorBidi" w:cstheme="majorBidi"/>
          <w:lang w:val="fr-FR"/>
        </w:rPr>
        <w:t xml:space="preserve"> – </w:t>
      </w:r>
      <w:r w:rsidRPr="008C5535">
        <w:rPr>
          <w:rStyle w:val="Hbreu"/>
        </w:rPr>
        <w:t>motzi chem ra‘.</w:t>
      </w:r>
      <w:r w:rsidRPr="008C5535">
        <w:rPr>
          <w:rFonts w:asciiTheme="majorBidi" w:hAnsiTheme="majorBidi" w:cstheme="majorBidi"/>
          <w:lang w:val="fr-FR"/>
        </w:rPr>
        <w:t xml:space="preserve"> Le </w:t>
      </w:r>
      <w:proofErr w:type="spellStart"/>
      <w:r w:rsidR="004C091C">
        <w:rPr>
          <w:rFonts w:asciiTheme="majorBidi" w:hAnsiTheme="majorBidi" w:cstheme="majorBidi"/>
          <w:lang w:val="fr-FR"/>
        </w:rPr>
        <w:t>M</w:t>
      </w:r>
      <w:r w:rsidRPr="008C5535">
        <w:rPr>
          <w:rFonts w:asciiTheme="majorBidi" w:hAnsiTheme="majorBidi" w:cstheme="majorBidi"/>
          <w:lang w:val="fr-FR"/>
        </w:rPr>
        <w:t>idrach</w:t>
      </w:r>
      <w:proofErr w:type="spellEnd"/>
      <w:r w:rsidRPr="008C5535">
        <w:rPr>
          <w:rFonts w:asciiTheme="majorBidi" w:hAnsiTheme="majorBidi" w:cstheme="majorBidi"/>
          <w:lang w:val="fr-FR"/>
        </w:rPr>
        <w:t xml:space="preserve"> met en évidence le fait que le mot </w:t>
      </w:r>
      <w:r w:rsidRPr="008C5535">
        <w:rPr>
          <w:rStyle w:val="Hbreu"/>
        </w:rPr>
        <w:t>metzora‘</w:t>
      </w:r>
      <w:r>
        <w:rPr>
          <w:rFonts w:asciiTheme="majorBidi" w:hAnsiTheme="majorBidi" w:cstheme="majorBidi"/>
          <w:lang w:val="fr-FR"/>
        </w:rPr>
        <w:t xml:space="preserve">, qu’on traduit par « lèpre », apparaît comme la contraction de l’expression </w:t>
      </w:r>
      <w:r w:rsidRPr="008C5535">
        <w:rPr>
          <w:rStyle w:val="Hbreu"/>
        </w:rPr>
        <w:t>motzi chem ra‘</w:t>
      </w:r>
      <w:r>
        <w:rPr>
          <w:rStyle w:val="Hbreu"/>
        </w:rPr>
        <w:t>,</w:t>
      </w:r>
      <w:r w:rsidRPr="008C5535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qui signifie « calomniateur ».</w:t>
      </w:r>
      <w:r w:rsidR="00280DFA">
        <w:rPr>
          <w:rFonts w:asciiTheme="majorBidi" w:hAnsiTheme="majorBidi" w:cstheme="majorBidi"/>
          <w:lang w:val="fr-FR"/>
        </w:rPr>
        <w:t xml:space="preserve"> </w:t>
      </w:r>
      <w:proofErr w:type="gramStart"/>
      <w:r w:rsidR="00280DFA">
        <w:rPr>
          <w:rFonts w:asciiTheme="majorBidi" w:hAnsiTheme="majorBidi" w:cstheme="majorBidi"/>
          <w:lang w:val="fr-FR"/>
        </w:rPr>
        <w:t>de</w:t>
      </w:r>
      <w:proofErr w:type="gramEnd"/>
      <w:r w:rsidR="00280DFA">
        <w:rPr>
          <w:rFonts w:asciiTheme="majorBidi" w:hAnsiTheme="majorBidi" w:cstheme="majorBidi"/>
          <w:lang w:val="fr-FR"/>
        </w:rPr>
        <w:t xml:space="preserve"> même que la lèpre détruit le corps de l’homme, la calomnie détruit le corps social. (NdT)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30"/>
    <w:rsid w:val="00086549"/>
    <w:rsid w:val="000B31D9"/>
    <w:rsid w:val="00202698"/>
    <w:rsid w:val="0021208E"/>
    <w:rsid w:val="00253D35"/>
    <w:rsid w:val="00280DFA"/>
    <w:rsid w:val="002A1B89"/>
    <w:rsid w:val="002D34C8"/>
    <w:rsid w:val="003B3C8F"/>
    <w:rsid w:val="003E0437"/>
    <w:rsid w:val="004543D5"/>
    <w:rsid w:val="004C091C"/>
    <w:rsid w:val="005B24E3"/>
    <w:rsid w:val="0066001E"/>
    <w:rsid w:val="00667107"/>
    <w:rsid w:val="00730CAC"/>
    <w:rsid w:val="008C5535"/>
    <w:rsid w:val="00936BBE"/>
    <w:rsid w:val="00941807"/>
    <w:rsid w:val="009834C1"/>
    <w:rsid w:val="00A02930"/>
    <w:rsid w:val="00A83F34"/>
    <w:rsid w:val="00AB5514"/>
    <w:rsid w:val="00AC72C5"/>
    <w:rsid w:val="00BC3FC2"/>
    <w:rsid w:val="00C07A17"/>
    <w:rsid w:val="00C34670"/>
    <w:rsid w:val="00C61FB4"/>
    <w:rsid w:val="00CB0B7F"/>
    <w:rsid w:val="00D21C72"/>
    <w:rsid w:val="00DC6177"/>
    <w:rsid w:val="00DE5ABD"/>
    <w:rsid w:val="00E65F58"/>
    <w:rsid w:val="00E66D7A"/>
    <w:rsid w:val="00ED21D2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7902"/>
  <w15:chartTrackingRefBased/>
  <w15:docId w15:val="{8788AF94-6FA3-46DE-9BF4-CC2F55A4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C34670"/>
    <w:rPr>
      <w:sz w:val="20"/>
      <w:szCs w:val="18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sz w:val="20"/>
      <w:szCs w:val="18"/>
    </w:rPr>
  </w:style>
  <w:style w:type="character" w:customStyle="1" w:styleId="Hbreu">
    <w:name w:val="Hébreu"/>
    <w:basedOn w:val="a0"/>
    <w:qFormat/>
    <w:rsid w:val="008C5535"/>
    <w:rPr>
      <w:rFonts w:asciiTheme="majorBidi" w:hAnsiTheme="majorBidi" w:cstheme="majorBidi"/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A02930"/>
    <w:pPr>
      <w:suppressAutoHyphens w:val="0"/>
      <w:spacing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a6">
    <w:name w:val="טקסט הערת שוליים תו"/>
    <w:basedOn w:val="a0"/>
    <w:link w:val="a5"/>
    <w:uiPriority w:val="99"/>
    <w:semiHidden/>
    <w:rsid w:val="00A02930"/>
    <w:rPr>
      <w:kern w:val="2"/>
      <w:sz w:val="20"/>
      <w:szCs w:val="20"/>
      <w:lang w:val="en-US"/>
      <w14:ligatures w14:val="standardContextual"/>
    </w:rPr>
  </w:style>
  <w:style w:type="character" w:styleId="a7">
    <w:name w:val="footnote reference"/>
    <w:basedOn w:val="a0"/>
    <w:uiPriority w:val="99"/>
    <w:semiHidden/>
    <w:unhideWhenUsed/>
    <w:rsid w:val="00A02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</Template>
  <TotalTime>338</TotalTime>
  <Pages>1</Pages>
  <Words>603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6</cp:revision>
  <dcterms:created xsi:type="dcterms:W3CDTF">2025-04-28T16:06:00Z</dcterms:created>
  <dcterms:modified xsi:type="dcterms:W3CDTF">2025-04-30T11:08:00Z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