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DDA1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6C5E565B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7A23DE56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4D157E0E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4C91BFD1" w14:textId="0A6345AB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8F5B9C">
        <w:t>Vayiqra</w:t>
      </w:r>
    </w:p>
    <w:p w14:paraId="2C5AAF33" w14:textId="54EE32C8" w:rsidR="008F5B9C" w:rsidRPr="00AB6560" w:rsidRDefault="008F5B9C" w:rsidP="008F5B9C">
      <w:pPr>
        <w:pStyle w:val="NormalWeb"/>
        <w:shd w:val="clear" w:color="auto" w:fill="FEFEF3"/>
        <w:spacing w:before="0" w:beforeAutospacing="0" w:after="120" w:afterAutospacing="0"/>
        <w:jc w:val="both"/>
        <w:rPr>
          <w:rStyle w:val="name2"/>
          <w:color w:val="330000"/>
          <w:lang w:val="fr-FR"/>
        </w:rPr>
      </w:pPr>
      <w:r w:rsidRPr="00AB6560">
        <w:rPr>
          <w:rStyle w:val="name2"/>
          <w:color w:val="330000"/>
          <w:lang w:val="fr-FR"/>
        </w:rPr>
        <w:t xml:space="preserve">Cette paracha traite essentiellement des </w:t>
      </w:r>
      <w:proofErr w:type="spellStart"/>
      <w:r w:rsidRPr="00AB6560">
        <w:rPr>
          <w:rStyle w:val="name2"/>
          <w:i/>
          <w:iCs/>
          <w:color w:val="330000"/>
          <w:lang w:val="fr-FR"/>
        </w:rPr>
        <w:t>qorbanoth</w:t>
      </w:r>
      <w:proofErr w:type="spellEnd"/>
      <w:r w:rsidRPr="00AB6560">
        <w:rPr>
          <w:rStyle w:val="name2"/>
          <w:color w:val="330000"/>
          <w:lang w:val="fr-FR"/>
        </w:rPr>
        <w:t xml:space="preserve">. Ce terme, habituellement traduit par « sacrifices », désigne plus exactement un effort d’unification, de rapprochement de ce que disjoint et sépare le fonctionnement du monde. Nous utiliserons de préférence ici le terme d’offrande. </w:t>
      </w:r>
    </w:p>
    <w:p w14:paraId="2DFFF5A5" w14:textId="4CDA8067" w:rsidR="008F5B9C" w:rsidRPr="00AB6560" w:rsidRDefault="008F5B9C" w:rsidP="008F5B9C">
      <w:pPr>
        <w:pStyle w:val="NormalWeb"/>
        <w:shd w:val="clear" w:color="auto" w:fill="FEFEF3"/>
        <w:spacing w:before="0" w:beforeAutospacing="0" w:after="120" w:afterAutospacing="0"/>
        <w:jc w:val="both"/>
        <w:rPr>
          <w:rStyle w:val="name2"/>
          <w:color w:val="330000"/>
          <w:lang w:val="fr-FR"/>
        </w:rPr>
      </w:pPr>
      <w:r w:rsidRPr="00AB6560">
        <w:rPr>
          <w:rStyle w:val="name2"/>
          <w:color w:val="330000"/>
          <w:lang w:val="fr-FR"/>
        </w:rPr>
        <w:t>L’une d’entre elles est l’offrande dite « expiatoire », que l’on apporte lorsque la prise de conscience d’une faute conduit à la volonté de s’en repentir et de la réparer.</w:t>
      </w:r>
    </w:p>
    <w:p w14:paraId="4F7F84AC" w14:textId="2408708B" w:rsidR="008F5B9C" w:rsidRPr="00AB6560" w:rsidRDefault="008F5B9C" w:rsidP="008F5B9C">
      <w:pPr>
        <w:pStyle w:val="NormalWeb"/>
        <w:shd w:val="clear" w:color="auto" w:fill="FEFEF3"/>
        <w:spacing w:before="0" w:beforeAutospacing="0" w:after="120" w:afterAutospacing="0"/>
        <w:jc w:val="both"/>
        <w:rPr>
          <w:rStyle w:val="name2"/>
          <w:lang w:val="fr-FR"/>
        </w:rPr>
      </w:pPr>
      <w:smartTag w:uri="urn:schemas-microsoft-com:office:smarttags" w:element="PersonName">
        <w:smartTagPr>
          <w:attr w:name="ProductID" w:val="La Thora"/>
        </w:smartTagPr>
        <w:r w:rsidRPr="00AB6560">
          <w:rPr>
            <w:rStyle w:val="name2"/>
            <w:color w:val="330000"/>
            <w:lang w:val="fr-FR"/>
          </w:rPr>
          <w:t>La Thora</w:t>
        </w:r>
      </w:smartTag>
      <w:r w:rsidRPr="00AB6560">
        <w:rPr>
          <w:rStyle w:val="name2"/>
          <w:color w:val="330000"/>
          <w:lang w:val="fr-FR"/>
        </w:rPr>
        <w:t xml:space="preserve"> évalue le degré de gravité des fautes </w:t>
      </w:r>
      <w:r w:rsidR="005374D4" w:rsidRPr="00AB6560">
        <w:rPr>
          <w:rStyle w:val="name2"/>
          <w:color w:val="330000"/>
          <w:lang w:val="fr-FR"/>
        </w:rPr>
        <w:t>à la mesure</w:t>
      </w:r>
      <w:r w:rsidRPr="00AB6560">
        <w:rPr>
          <w:rStyle w:val="name2"/>
          <w:color w:val="330000"/>
          <w:lang w:val="fr-FR"/>
        </w:rPr>
        <w:t xml:space="preserve"> de celui qui les commet : plus </w:t>
      </w:r>
      <w:r w:rsidR="005374D4" w:rsidRPr="00AB6560">
        <w:rPr>
          <w:rStyle w:val="name2"/>
          <w:color w:val="330000"/>
          <w:lang w:val="fr-FR"/>
        </w:rPr>
        <w:t>c’</w:t>
      </w:r>
      <w:r w:rsidRPr="00AB6560">
        <w:rPr>
          <w:rStyle w:val="name2"/>
          <w:color w:val="330000"/>
          <w:lang w:val="fr-FR"/>
        </w:rPr>
        <w:t xml:space="preserve">est </w:t>
      </w:r>
      <w:r w:rsidR="005374D4" w:rsidRPr="00AB6560">
        <w:rPr>
          <w:rStyle w:val="name2"/>
          <w:color w:val="330000"/>
          <w:lang w:val="fr-FR"/>
        </w:rPr>
        <w:t xml:space="preserve">un personnage </w:t>
      </w:r>
      <w:r w:rsidRPr="00AB6560">
        <w:rPr>
          <w:rStyle w:val="name2"/>
          <w:color w:val="330000"/>
          <w:lang w:val="fr-FR"/>
        </w:rPr>
        <w:t xml:space="preserve">important, et plus la gravité de son faux-pas sera soulignée et </w:t>
      </w:r>
      <w:r w:rsidRPr="00AB6560">
        <w:rPr>
          <w:rStyle w:val="name2"/>
          <w:lang w:val="fr-FR"/>
        </w:rPr>
        <w:t>plus son offrande devra être co</w:t>
      </w:r>
      <w:r w:rsidR="005374D4" w:rsidRPr="00AB6560">
        <w:rPr>
          <w:rStyle w:val="name2"/>
          <w:lang w:val="fr-FR"/>
        </w:rPr>
        <w:t>û</w:t>
      </w:r>
      <w:r w:rsidRPr="00AB6560">
        <w:rPr>
          <w:rStyle w:val="name2"/>
          <w:lang w:val="fr-FR"/>
        </w:rPr>
        <w:t>teuse.</w:t>
      </w:r>
    </w:p>
    <w:p w14:paraId="6A118A22" w14:textId="77777777" w:rsidR="008F5B9C" w:rsidRPr="00F14CF0" w:rsidRDefault="008F5B9C" w:rsidP="005374D4">
      <w:pPr>
        <w:pStyle w:val="NormalWeb"/>
        <w:shd w:val="clear" w:color="auto" w:fill="FEFEF3"/>
        <w:spacing w:before="0" w:beforeAutospacing="0" w:after="120" w:afterAutospacing="0"/>
        <w:jc w:val="both"/>
        <w:rPr>
          <w:rStyle w:val="name2"/>
          <w:lang w:val="fr-FR"/>
        </w:rPr>
      </w:pPr>
      <w:r w:rsidRPr="00AB6560">
        <w:rPr>
          <w:lang w:val="fr-FR"/>
        </w:rPr>
        <w:t xml:space="preserve">De manière inhabituelle, la Thora utilise le terme </w:t>
      </w:r>
      <w:proofErr w:type="spellStart"/>
      <w:r w:rsidRPr="00AB6560">
        <w:rPr>
          <w:i/>
          <w:iCs/>
          <w:lang w:val="fr-FR"/>
        </w:rPr>
        <w:t>achèr</w:t>
      </w:r>
      <w:proofErr w:type="spellEnd"/>
      <w:r w:rsidRPr="00AB6560">
        <w:rPr>
          <w:lang w:val="fr-FR"/>
        </w:rPr>
        <w:t xml:space="preserve"> pour exprimer l’idée de l’éventualité de la faute du prince </w:t>
      </w:r>
      <w:r w:rsidRPr="00AB6560">
        <w:rPr>
          <w:rStyle w:val="name2"/>
          <w:sz w:val="20"/>
          <w:szCs w:val="20"/>
          <w:lang w:val="fr-FR"/>
        </w:rPr>
        <w:t xml:space="preserve">(Vayiqra </w:t>
      </w:r>
      <w:r w:rsidRPr="00AB6560">
        <w:rPr>
          <w:rStyle w:val="name2"/>
          <w:smallCaps/>
          <w:sz w:val="20"/>
          <w:szCs w:val="20"/>
          <w:lang w:val="fr-FR"/>
        </w:rPr>
        <w:t>iv</w:t>
      </w:r>
      <w:r w:rsidRPr="00AB6560">
        <w:rPr>
          <w:rStyle w:val="name2"/>
          <w:sz w:val="20"/>
          <w:szCs w:val="20"/>
          <w:lang w:val="fr-FR"/>
        </w:rPr>
        <w:t>, 22)</w:t>
      </w:r>
      <w:r w:rsidRPr="00AB6560">
        <w:rPr>
          <w:rStyle w:val="name2"/>
          <w:lang w:val="fr-FR"/>
        </w:rPr>
        <w:t xml:space="preserve"> avant d’indiquer ce que son offrande devra être :</w:t>
      </w:r>
    </w:p>
    <w:p w14:paraId="3DED176A" w14:textId="6760F30E" w:rsidR="008F5B9C" w:rsidRDefault="005374D4" w:rsidP="005374D4">
      <w:pPr>
        <w:pStyle w:val="Citation"/>
      </w:pPr>
      <w:r>
        <w:rPr>
          <w:rStyle w:val="name2"/>
        </w:rPr>
        <w:t>« </w:t>
      </w:r>
      <w:r w:rsidR="008F5B9C">
        <w:rPr>
          <w:rStyle w:val="name2"/>
        </w:rPr>
        <w:t xml:space="preserve">Lorsque </w:t>
      </w:r>
      <w:r w:rsidR="008F5B9C" w:rsidRPr="00F14CF0">
        <w:rPr>
          <w:rStyle w:val="name2"/>
        </w:rPr>
        <w:t>(</w:t>
      </w:r>
      <w:proofErr w:type="spellStart"/>
      <w:r w:rsidR="008F5B9C" w:rsidRPr="00916123">
        <w:rPr>
          <w:rStyle w:val="name2"/>
          <w:i w:val="0"/>
          <w:iCs w:val="0"/>
        </w:rPr>
        <w:t>achèr</w:t>
      </w:r>
      <w:proofErr w:type="spellEnd"/>
      <w:r w:rsidR="008F5B9C" w:rsidRPr="00F14CF0">
        <w:rPr>
          <w:rStyle w:val="name2"/>
        </w:rPr>
        <w:t xml:space="preserve">) un prince </w:t>
      </w:r>
      <w:r w:rsidR="008F5B9C">
        <w:rPr>
          <w:rStyle w:val="name2"/>
        </w:rPr>
        <w:t>aura fauté</w:t>
      </w:r>
      <w:r w:rsidR="008F5B9C">
        <w:t>…</w:t>
      </w:r>
      <w:r>
        <w:t> »</w:t>
      </w:r>
    </w:p>
    <w:p w14:paraId="4BA807E9" w14:textId="77777777" w:rsidR="008F5B9C" w:rsidRPr="00F14CF0" w:rsidRDefault="008F5B9C" w:rsidP="00191C62">
      <w:pPr>
        <w:pStyle w:val="NormalWeb"/>
        <w:shd w:val="clear" w:color="auto" w:fill="FEFEF3"/>
        <w:spacing w:before="0" w:beforeAutospacing="0" w:after="120" w:afterAutospacing="0"/>
        <w:rPr>
          <w:lang w:val="fr-FR"/>
        </w:rPr>
      </w:pPr>
      <w:r w:rsidRPr="00F14CF0">
        <w:rPr>
          <w:lang w:val="fr-FR"/>
        </w:rPr>
        <w:t xml:space="preserve">Rachi </w:t>
      </w:r>
      <w:r>
        <w:rPr>
          <w:lang w:val="fr-FR"/>
        </w:rPr>
        <w:t>explique </w:t>
      </w:r>
      <w:r w:rsidRPr="00F14CF0">
        <w:rPr>
          <w:lang w:val="fr-FR"/>
        </w:rPr>
        <w:t>:</w:t>
      </w:r>
    </w:p>
    <w:p w14:paraId="08445DA6" w14:textId="3527C5D3" w:rsidR="008F5B9C" w:rsidRPr="00F14CF0" w:rsidRDefault="005374D4" w:rsidP="005374D4">
      <w:pPr>
        <w:pStyle w:val="Citation"/>
      </w:pPr>
      <w:r>
        <w:t>« </w:t>
      </w:r>
      <w:r w:rsidR="008F5B9C" w:rsidRPr="00F14CF0">
        <w:t xml:space="preserve">Le mot </w:t>
      </w:r>
      <w:proofErr w:type="spellStart"/>
      <w:r w:rsidR="008F5B9C" w:rsidRPr="00F14CF0">
        <w:rPr>
          <w:rStyle w:val="text"/>
          <w:i w:val="0"/>
          <w:iCs w:val="0"/>
        </w:rPr>
        <w:t>achèr</w:t>
      </w:r>
      <w:proofErr w:type="spellEnd"/>
      <w:r w:rsidR="008F5B9C" w:rsidRPr="00F14CF0">
        <w:rPr>
          <w:rStyle w:val="text"/>
        </w:rPr>
        <w:t xml:space="preserve"> (« </w:t>
      </w:r>
      <w:r w:rsidR="008F5B9C">
        <w:rPr>
          <w:rStyle w:val="text"/>
        </w:rPr>
        <w:t>lorsque</w:t>
      </w:r>
      <w:r w:rsidR="008F5B9C" w:rsidRPr="00F14CF0">
        <w:rPr>
          <w:rStyle w:val="text"/>
        </w:rPr>
        <w:t xml:space="preserve"> ») est apparenté à </w:t>
      </w:r>
      <w:proofErr w:type="spellStart"/>
      <w:r w:rsidR="008F5B9C" w:rsidRPr="00916123">
        <w:rPr>
          <w:rStyle w:val="text"/>
          <w:i w:val="0"/>
          <w:iCs w:val="0"/>
        </w:rPr>
        <w:t>achré</w:t>
      </w:r>
      <w:proofErr w:type="spellEnd"/>
      <w:r w:rsidR="008F5B9C" w:rsidRPr="00F14CF0">
        <w:rPr>
          <w:rStyle w:val="text"/>
        </w:rPr>
        <w:t xml:space="preserve"> (« </w:t>
      </w:r>
      <w:r w:rsidR="008F5B9C">
        <w:rPr>
          <w:rStyle w:val="text"/>
        </w:rPr>
        <w:t>bien</w:t>
      </w:r>
      <w:r w:rsidR="008F5B9C" w:rsidRPr="00F14CF0">
        <w:rPr>
          <w:rStyle w:val="text"/>
        </w:rPr>
        <w:t xml:space="preserve">heureux ») : </w:t>
      </w:r>
      <w:r w:rsidR="008F5B9C">
        <w:rPr>
          <w:rStyle w:val="text"/>
        </w:rPr>
        <w:t>bienh</w:t>
      </w:r>
      <w:r w:rsidR="008F5B9C" w:rsidRPr="00F14CF0">
        <w:rPr>
          <w:rStyle w:val="text"/>
        </w:rPr>
        <w:t>eureuse la génération dont le prince prend à cœur d</w:t>
      </w:r>
      <w:r w:rsidR="008F5B9C">
        <w:rPr>
          <w:rStyle w:val="text"/>
        </w:rPr>
        <w:t>’approcher une offrande d’expiation</w:t>
      </w:r>
      <w:r w:rsidR="008F5B9C" w:rsidRPr="00F14CF0">
        <w:rPr>
          <w:rStyle w:val="text"/>
        </w:rPr>
        <w:t xml:space="preserve"> pour s</w:t>
      </w:r>
      <w:r w:rsidR="008F5B9C">
        <w:rPr>
          <w:rStyle w:val="text"/>
        </w:rPr>
        <w:t>a</w:t>
      </w:r>
      <w:r w:rsidR="008F5B9C" w:rsidRPr="00F14CF0">
        <w:rPr>
          <w:rStyle w:val="text"/>
        </w:rPr>
        <w:t xml:space="preserve"> faute commise par </w:t>
      </w:r>
      <w:r w:rsidR="008F5B9C">
        <w:rPr>
          <w:rStyle w:val="text"/>
        </w:rPr>
        <w:t>inadvertance.</w:t>
      </w:r>
      <w:r w:rsidR="008F5B9C" w:rsidRPr="00F14CF0">
        <w:rPr>
          <w:rStyle w:val="text"/>
        </w:rPr>
        <w:t xml:space="preserve"> </w:t>
      </w:r>
      <w:r w:rsidR="008F5B9C">
        <w:rPr>
          <w:rStyle w:val="text"/>
        </w:rPr>
        <w:t>À</w:t>
      </w:r>
      <w:r w:rsidR="008F5B9C" w:rsidRPr="00F14CF0">
        <w:rPr>
          <w:rStyle w:val="text"/>
        </w:rPr>
        <w:t xml:space="preserve"> plus forte raison regrette</w:t>
      </w:r>
      <w:r w:rsidR="008F5B9C">
        <w:rPr>
          <w:rStyle w:val="text"/>
        </w:rPr>
        <w:t>-t-il</w:t>
      </w:r>
      <w:r w:rsidR="008F5B9C" w:rsidRPr="00F14CF0">
        <w:rPr>
          <w:rStyle w:val="text"/>
        </w:rPr>
        <w:t xml:space="preserve"> les fautes </w:t>
      </w:r>
      <w:r w:rsidR="008F5B9C">
        <w:rPr>
          <w:rStyle w:val="text"/>
        </w:rPr>
        <w:t>volontaire</w:t>
      </w:r>
      <w:r w:rsidR="008F5B9C" w:rsidRPr="00F14CF0">
        <w:rPr>
          <w:rStyle w:val="text"/>
        </w:rPr>
        <w:t>s !</w:t>
      </w:r>
      <w:r>
        <w:rPr>
          <w:rStyle w:val="text"/>
        </w:rPr>
        <w:t> »</w:t>
      </w:r>
      <w:r w:rsidR="008F5B9C" w:rsidRPr="00F14CF0">
        <w:rPr>
          <w:rStyle w:val="text"/>
        </w:rPr>
        <w:t xml:space="preserve"> </w:t>
      </w:r>
      <w:r w:rsidR="008F5B9C" w:rsidRPr="00F14CF0">
        <w:rPr>
          <w:rStyle w:val="text"/>
          <w:sz w:val="20"/>
          <w:szCs w:val="20"/>
        </w:rPr>
        <w:t>(</w:t>
      </w:r>
      <w:proofErr w:type="spellStart"/>
      <w:r w:rsidR="008F5B9C" w:rsidRPr="00F14CF0">
        <w:rPr>
          <w:rStyle w:val="text"/>
          <w:sz w:val="20"/>
          <w:szCs w:val="20"/>
        </w:rPr>
        <w:t>Horayoth</w:t>
      </w:r>
      <w:proofErr w:type="spellEnd"/>
      <w:r w:rsidR="008F5B9C" w:rsidRPr="00F14CF0">
        <w:rPr>
          <w:rStyle w:val="text"/>
          <w:sz w:val="20"/>
          <w:szCs w:val="20"/>
        </w:rPr>
        <w:t xml:space="preserve"> 10b)</w:t>
      </w:r>
      <w:r w:rsidR="008F5B9C" w:rsidRPr="00F14CF0">
        <w:rPr>
          <w:rStyle w:val="text"/>
        </w:rPr>
        <w:t>.</w:t>
      </w:r>
    </w:p>
    <w:p w14:paraId="41C96147" w14:textId="77777777" w:rsidR="008F5B9C" w:rsidRPr="00F14CF0" w:rsidRDefault="008F5B9C" w:rsidP="005374D4">
      <w:pPr>
        <w:pStyle w:val="ActuJ"/>
        <w:bidi w:val="0"/>
      </w:pPr>
      <w:smartTag w:uri="urn:schemas-microsoft-com:office:smarttags" w:element="PersonName">
        <w:smartTagPr>
          <w:attr w:name="ProductID" w:val="La Thora"/>
        </w:smartTagPr>
        <w:r w:rsidRPr="00F14CF0">
          <w:t>La Thora</w:t>
        </w:r>
      </w:smartTag>
      <w:r w:rsidRPr="00F14CF0">
        <w:t xml:space="preserve"> enseigne ici que </w:t>
      </w:r>
      <w:r>
        <w:t xml:space="preserve">seul </w:t>
      </w:r>
      <w:r w:rsidRPr="00F14CF0">
        <w:t>celui qui est capable de reconnaître ses erreurs</w:t>
      </w:r>
      <w:r>
        <w:t xml:space="preserve"> </w:t>
      </w:r>
      <w:r w:rsidRPr="00F14CF0">
        <w:t>mérite de diriger le peuple.</w:t>
      </w:r>
    </w:p>
    <w:p w14:paraId="2026DF59" w14:textId="1794D6B3" w:rsidR="008F5B9C" w:rsidRPr="00F14CF0" w:rsidRDefault="008F5B9C" w:rsidP="005374D4">
      <w:pPr>
        <w:pStyle w:val="ActuJ"/>
        <w:bidi w:val="0"/>
      </w:pPr>
      <w:r w:rsidRPr="00F14CF0">
        <w:t>En effet</w:t>
      </w:r>
      <w:r>
        <w:t>,</w:t>
      </w:r>
      <w:r w:rsidRPr="00F14CF0">
        <w:t xml:space="preserve"> le plus grand danger qui menace </w:t>
      </w:r>
      <w:r>
        <w:t xml:space="preserve">quiconque occupe </w:t>
      </w:r>
      <w:r w:rsidRPr="00F14CF0">
        <w:t>un</w:t>
      </w:r>
      <w:r>
        <w:t xml:space="preserve">e fonction de haute </w:t>
      </w:r>
      <w:r w:rsidRPr="00F14CF0">
        <w:t>responsabilité est d</w:t>
      </w:r>
      <w:r>
        <w:t>’</w:t>
      </w:r>
      <w:r w:rsidRPr="00F14CF0">
        <w:t xml:space="preserve">accaparer le pouvoir et </w:t>
      </w:r>
      <w:r>
        <w:t>d’</w:t>
      </w:r>
      <w:r w:rsidRPr="00F14CF0">
        <w:t>empêcher ainsi toute contestation.</w:t>
      </w:r>
      <w:r w:rsidR="005374D4">
        <w:t xml:space="preserve"> </w:t>
      </w:r>
      <w:r>
        <w:t xml:space="preserve">Un tel </w:t>
      </w:r>
      <w:r w:rsidRPr="00F14CF0">
        <w:t xml:space="preserve">comportement </w:t>
      </w:r>
      <w:r>
        <w:t xml:space="preserve">s’avère </w:t>
      </w:r>
      <w:r w:rsidRPr="00F14CF0">
        <w:t>désastreux</w:t>
      </w:r>
      <w:r>
        <w:t xml:space="preserve"> : </w:t>
      </w:r>
      <w:r w:rsidRPr="00F14CF0">
        <w:t>au lieu de servir la co</w:t>
      </w:r>
      <w:r>
        <w:t>llectivi</w:t>
      </w:r>
      <w:r w:rsidRPr="00F14CF0">
        <w:t>té</w:t>
      </w:r>
      <w:r>
        <w:t>, ce personnage</w:t>
      </w:r>
      <w:r w:rsidRPr="00F14CF0">
        <w:t xml:space="preserve"> se sert d</w:t>
      </w:r>
      <w:r>
        <w:t>’</w:t>
      </w:r>
      <w:r w:rsidRPr="00F14CF0">
        <w:t xml:space="preserve">elle pour ses </w:t>
      </w:r>
      <w:r>
        <w:t xml:space="preserve">intérêts </w:t>
      </w:r>
      <w:r w:rsidRPr="00F14CF0">
        <w:t>personnels.</w:t>
      </w:r>
    </w:p>
    <w:p w14:paraId="0E5317AD" w14:textId="77777777" w:rsidR="008F5B9C" w:rsidRPr="00F14CF0" w:rsidRDefault="008F5B9C" w:rsidP="005374D4">
      <w:pPr>
        <w:pStyle w:val="ActuJ"/>
        <w:bidi w:val="0"/>
      </w:pPr>
      <w:r w:rsidRPr="00F14CF0">
        <w:t>Aussi</w:t>
      </w:r>
      <w:r>
        <w:t>,</w:t>
      </w:r>
      <w:r w:rsidRPr="00F14CF0">
        <w:t xml:space="preserve"> quand un grand en Israël trébuche et reconnaît ses erreurs, ne le condamne pas pour la faute qu</w:t>
      </w:r>
      <w:r>
        <w:t>’</w:t>
      </w:r>
      <w:r w:rsidRPr="00F14CF0">
        <w:t>il a commise</w:t>
      </w:r>
      <w:r>
        <w:t> ;</w:t>
      </w:r>
      <w:r w:rsidRPr="00F14CF0">
        <w:t xml:space="preserve"> réjouis</w:t>
      </w:r>
      <w:r>
        <w:t>-</w:t>
      </w:r>
      <w:r w:rsidRPr="00F14CF0">
        <w:t xml:space="preserve">toi </w:t>
      </w:r>
      <w:r>
        <w:t xml:space="preserve">au contraire </w:t>
      </w:r>
      <w:r w:rsidRPr="00F14CF0">
        <w:t>de sa capacité à reconnaître ses erreurs.</w:t>
      </w:r>
    </w:p>
    <w:p w14:paraId="6442D2E2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C"/>
    <w:rsid w:val="00086549"/>
    <w:rsid w:val="000B31D9"/>
    <w:rsid w:val="00202698"/>
    <w:rsid w:val="0021208E"/>
    <w:rsid w:val="00253D35"/>
    <w:rsid w:val="002A1B89"/>
    <w:rsid w:val="002D34C8"/>
    <w:rsid w:val="003E0437"/>
    <w:rsid w:val="005100B3"/>
    <w:rsid w:val="005374D4"/>
    <w:rsid w:val="005B24E3"/>
    <w:rsid w:val="008F5B9C"/>
    <w:rsid w:val="00941807"/>
    <w:rsid w:val="009834C1"/>
    <w:rsid w:val="00A73BAD"/>
    <w:rsid w:val="00A83F34"/>
    <w:rsid w:val="00AB6560"/>
    <w:rsid w:val="00AC72C5"/>
    <w:rsid w:val="00C34670"/>
    <w:rsid w:val="00C61FB4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F1D6083"/>
  <w15:chartTrackingRefBased/>
  <w15:docId w15:val="{6730C7AA-598B-484E-8343-289895D5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  <w:style w:type="paragraph" w:styleId="NormalWeb">
    <w:name w:val="Normal (Web)"/>
    <w:basedOn w:val="a"/>
    <w:rsid w:val="008F5B9C"/>
    <w:pPr>
      <w:suppressAutoHyphens w:val="0"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en-US" w:eastAsia="en-US"/>
    </w:rPr>
  </w:style>
  <w:style w:type="character" w:customStyle="1" w:styleId="name2">
    <w:name w:val="name2"/>
    <w:basedOn w:val="a0"/>
    <w:rsid w:val="008F5B9C"/>
  </w:style>
  <w:style w:type="character" w:customStyle="1" w:styleId="text">
    <w:name w:val="text"/>
    <w:basedOn w:val="a0"/>
    <w:rsid w:val="008F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16</TotalTime>
  <Pages>1</Pages>
  <Words>326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3</cp:revision>
  <dcterms:created xsi:type="dcterms:W3CDTF">2025-03-28T09:15:00Z</dcterms:created>
  <dcterms:modified xsi:type="dcterms:W3CDTF">2025-03-28T10:01:00Z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